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4DAB" w14:textId="77777777" w:rsidR="00B46DED" w:rsidRPr="003542CB" w:rsidRDefault="00B46DED" w:rsidP="00E3584D">
      <w:pPr>
        <w:spacing w:line="280" w:lineRule="atLeast"/>
        <w:rPr>
          <w:rFonts w:cstheme="minorHAnsi"/>
          <w:color w:val="000000" w:themeColor="text1"/>
        </w:rPr>
      </w:pPr>
    </w:p>
    <w:p w14:paraId="386C7788" w14:textId="77777777" w:rsidR="00B46DED" w:rsidRPr="003542CB" w:rsidRDefault="00B46DED" w:rsidP="00E3584D">
      <w:pPr>
        <w:spacing w:line="280" w:lineRule="atLeast"/>
        <w:rPr>
          <w:rFonts w:cstheme="minorHAnsi"/>
          <w:color w:val="000000" w:themeColor="text1"/>
        </w:rPr>
      </w:pPr>
    </w:p>
    <w:p w14:paraId="34327127" w14:textId="77777777" w:rsidR="00B46DED" w:rsidRPr="003542CB" w:rsidRDefault="00B46DED" w:rsidP="00E3584D">
      <w:pPr>
        <w:spacing w:line="280" w:lineRule="atLeast"/>
        <w:rPr>
          <w:rFonts w:cstheme="minorHAnsi"/>
          <w:color w:val="000000" w:themeColor="text1"/>
        </w:rPr>
      </w:pPr>
    </w:p>
    <w:p w14:paraId="0E2BA95B" w14:textId="77777777" w:rsidR="00B46DED" w:rsidRPr="003542CB" w:rsidRDefault="00B46DED" w:rsidP="00E3584D">
      <w:pPr>
        <w:spacing w:line="280" w:lineRule="atLeast"/>
        <w:rPr>
          <w:rFonts w:cstheme="minorHAnsi"/>
          <w:color w:val="000000" w:themeColor="text1"/>
        </w:rPr>
      </w:pPr>
    </w:p>
    <w:p w14:paraId="3C0CC6C6" w14:textId="77777777" w:rsidR="00693124" w:rsidRPr="003542CB" w:rsidRDefault="00693124" w:rsidP="00E3584D">
      <w:pPr>
        <w:spacing w:line="280" w:lineRule="atLeast"/>
        <w:jc w:val="center"/>
        <w:rPr>
          <w:rFonts w:cstheme="minorHAnsi"/>
          <w:b/>
          <w:color w:val="000000" w:themeColor="text1"/>
          <w:sz w:val="52"/>
          <w:szCs w:val="24"/>
        </w:rPr>
      </w:pPr>
      <w:r w:rsidRPr="003542CB">
        <w:rPr>
          <w:rFonts w:cstheme="minorHAnsi"/>
          <w:b/>
          <w:color w:val="000000" w:themeColor="text1"/>
          <w:sz w:val="52"/>
          <w:szCs w:val="24"/>
        </w:rPr>
        <w:t xml:space="preserve">Zpráva o solventnosti a finanční situaci </w:t>
      </w:r>
    </w:p>
    <w:p w14:paraId="5132750B" w14:textId="77777777" w:rsidR="00693124" w:rsidRPr="003542CB" w:rsidRDefault="00693124" w:rsidP="00E3584D">
      <w:pPr>
        <w:spacing w:line="280" w:lineRule="atLeast"/>
        <w:jc w:val="center"/>
        <w:rPr>
          <w:rFonts w:cstheme="minorHAnsi"/>
          <w:i/>
          <w:color w:val="000000" w:themeColor="text1"/>
          <w:sz w:val="40"/>
          <w:szCs w:val="24"/>
        </w:rPr>
      </w:pPr>
      <w:proofErr w:type="spellStart"/>
      <w:r w:rsidRPr="003542CB">
        <w:rPr>
          <w:rFonts w:cstheme="minorHAnsi"/>
          <w:i/>
          <w:color w:val="000000" w:themeColor="text1"/>
          <w:sz w:val="40"/>
          <w:szCs w:val="24"/>
        </w:rPr>
        <w:t>Solvency</w:t>
      </w:r>
      <w:proofErr w:type="spellEnd"/>
      <w:r w:rsidRPr="003542CB">
        <w:rPr>
          <w:rFonts w:cstheme="minorHAnsi"/>
          <w:i/>
          <w:color w:val="000000" w:themeColor="text1"/>
          <w:sz w:val="40"/>
          <w:szCs w:val="24"/>
        </w:rPr>
        <w:t xml:space="preserve"> and </w:t>
      </w:r>
      <w:proofErr w:type="spellStart"/>
      <w:r w:rsidRPr="003542CB">
        <w:rPr>
          <w:rFonts w:cstheme="minorHAnsi"/>
          <w:i/>
          <w:color w:val="000000" w:themeColor="text1"/>
          <w:sz w:val="40"/>
          <w:szCs w:val="24"/>
        </w:rPr>
        <w:t>Financial</w:t>
      </w:r>
      <w:proofErr w:type="spellEnd"/>
      <w:r w:rsidRPr="003542CB">
        <w:rPr>
          <w:rFonts w:cstheme="minorHAnsi"/>
          <w:i/>
          <w:color w:val="000000" w:themeColor="text1"/>
          <w:sz w:val="40"/>
          <w:szCs w:val="24"/>
        </w:rPr>
        <w:t xml:space="preserve"> </w:t>
      </w:r>
      <w:proofErr w:type="spellStart"/>
      <w:r w:rsidRPr="003542CB">
        <w:rPr>
          <w:rFonts w:cstheme="minorHAnsi"/>
          <w:i/>
          <w:color w:val="000000" w:themeColor="text1"/>
          <w:sz w:val="40"/>
          <w:szCs w:val="24"/>
        </w:rPr>
        <w:t>Condition</w:t>
      </w:r>
      <w:proofErr w:type="spellEnd"/>
      <w:r w:rsidRPr="003542CB">
        <w:rPr>
          <w:rFonts w:cstheme="minorHAnsi"/>
          <w:i/>
          <w:color w:val="000000" w:themeColor="text1"/>
          <w:sz w:val="40"/>
          <w:szCs w:val="24"/>
        </w:rPr>
        <w:t xml:space="preserve"> Report (SFCR)</w:t>
      </w:r>
    </w:p>
    <w:p w14:paraId="17C0FC0B" w14:textId="77777777" w:rsidR="00104A02" w:rsidRPr="003542CB" w:rsidRDefault="00104A02" w:rsidP="00E3584D">
      <w:pPr>
        <w:spacing w:line="280" w:lineRule="atLeast"/>
        <w:jc w:val="center"/>
        <w:rPr>
          <w:rFonts w:cstheme="minorHAnsi"/>
          <w:b/>
          <w:color w:val="000000" w:themeColor="text1"/>
          <w:sz w:val="52"/>
          <w:szCs w:val="24"/>
        </w:rPr>
      </w:pPr>
    </w:p>
    <w:p w14:paraId="6191EBB0" w14:textId="43CF90C9" w:rsidR="00004126" w:rsidRPr="003542CB" w:rsidRDefault="00004126" w:rsidP="00E3584D">
      <w:pPr>
        <w:spacing w:line="280" w:lineRule="atLeast"/>
        <w:jc w:val="center"/>
        <w:rPr>
          <w:rFonts w:cstheme="minorHAnsi"/>
          <w:b/>
          <w:color w:val="000000" w:themeColor="text1"/>
          <w:sz w:val="52"/>
          <w:szCs w:val="24"/>
        </w:rPr>
      </w:pPr>
      <w:r w:rsidRPr="003542CB">
        <w:rPr>
          <w:rFonts w:cstheme="minorHAnsi"/>
          <w:b/>
          <w:color w:val="000000" w:themeColor="text1"/>
          <w:sz w:val="52"/>
          <w:szCs w:val="24"/>
        </w:rPr>
        <w:t>za rok</w:t>
      </w:r>
      <w:r w:rsidR="005725F9" w:rsidRPr="003542CB">
        <w:rPr>
          <w:rFonts w:cstheme="minorHAnsi"/>
          <w:b/>
          <w:color w:val="000000" w:themeColor="text1"/>
          <w:sz w:val="52"/>
          <w:szCs w:val="24"/>
        </w:rPr>
        <w:t xml:space="preserve"> </w:t>
      </w:r>
      <w:r w:rsidR="006A6B2A" w:rsidRPr="003542CB">
        <w:rPr>
          <w:rFonts w:cstheme="minorHAnsi"/>
          <w:b/>
          <w:color w:val="000000" w:themeColor="text1"/>
          <w:sz w:val="52"/>
          <w:szCs w:val="24"/>
        </w:rPr>
        <w:t>20</w:t>
      </w:r>
      <w:r w:rsidR="008135B6" w:rsidRPr="003542CB">
        <w:rPr>
          <w:rFonts w:cstheme="minorHAnsi"/>
          <w:b/>
          <w:color w:val="000000" w:themeColor="text1"/>
          <w:sz w:val="52"/>
          <w:szCs w:val="24"/>
        </w:rPr>
        <w:t>20</w:t>
      </w:r>
    </w:p>
    <w:p w14:paraId="360BB9E5" w14:textId="77777777" w:rsidR="008326C4" w:rsidRPr="003542CB" w:rsidRDefault="008326C4" w:rsidP="00E3584D">
      <w:pPr>
        <w:spacing w:line="280" w:lineRule="atLeast"/>
        <w:jc w:val="center"/>
        <w:rPr>
          <w:rFonts w:cstheme="minorHAnsi"/>
          <w:b/>
          <w:color w:val="000000" w:themeColor="text1"/>
          <w:sz w:val="52"/>
          <w:szCs w:val="24"/>
        </w:rPr>
      </w:pPr>
      <w:r w:rsidRPr="003542CB">
        <w:rPr>
          <w:rFonts w:cstheme="minorHAnsi"/>
          <w:b/>
          <w:color w:val="000000" w:themeColor="text1"/>
          <w:sz w:val="52"/>
          <w:szCs w:val="24"/>
        </w:rPr>
        <w:t>společnosti Vitalitas pojišťovna, a.s.</w:t>
      </w:r>
    </w:p>
    <w:p w14:paraId="7AE762CD" w14:textId="77777777" w:rsidR="005725F9" w:rsidRPr="003542CB" w:rsidRDefault="008326C4" w:rsidP="00E3584D">
      <w:pPr>
        <w:spacing w:line="280" w:lineRule="atLeast"/>
        <w:jc w:val="center"/>
        <w:rPr>
          <w:rFonts w:cstheme="minorHAnsi"/>
          <w:b/>
          <w:color w:val="000000" w:themeColor="text1"/>
          <w:sz w:val="28"/>
          <w:szCs w:val="24"/>
        </w:rPr>
      </w:pPr>
      <w:r w:rsidRPr="003542CB">
        <w:rPr>
          <w:rFonts w:cstheme="minorHAnsi"/>
          <w:b/>
          <w:color w:val="000000" w:themeColor="text1"/>
          <w:sz w:val="28"/>
          <w:szCs w:val="24"/>
        </w:rPr>
        <w:t>(dále jen „</w:t>
      </w:r>
      <w:r w:rsidR="00E342E2" w:rsidRPr="003542CB">
        <w:rPr>
          <w:rFonts w:cstheme="minorHAnsi"/>
          <w:b/>
          <w:color w:val="000000" w:themeColor="text1"/>
          <w:sz w:val="28"/>
          <w:szCs w:val="24"/>
        </w:rPr>
        <w:t>Pojišťovna</w:t>
      </w:r>
      <w:r w:rsidRPr="003542CB">
        <w:rPr>
          <w:rFonts w:cstheme="minorHAnsi"/>
          <w:b/>
          <w:color w:val="000000" w:themeColor="text1"/>
          <w:sz w:val="28"/>
          <w:szCs w:val="24"/>
        </w:rPr>
        <w:t>“)</w:t>
      </w:r>
    </w:p>
    <w:p w14:paraId="19C63FCC" w14:textId="77777777" w:rsidR="008326C4" w:rsidRPr="003542CB" w:rsidRDefault="008326C4" w:rsidP="00E3584D">
      <w:pPr>
        <w:spacing w:line="280" w:lineRule="atLeast"/>
        <w:rPr>
          <w:rFonts w:cstheme="minorHAnsi"/>
          <w:b/>
          <w:color w:val="000000" w:themeColor="text1"/>
          <w:sz w:val="28"/>
          <w:szCs w:val="24"/>
        </w:rPr>
      </w:pPr>
    </w:p>
    <w:p w14:paraId="658A292F" w14:textId="77777777" w:rsidR="008326C4" w:rsidRPr="003542CB" w:rsidRDefault="008326C4" w:rsidP="00E3584D">
      <w:pPr>
        <w:spacing w:line="280" w:lineRule="atLeast"/>
        <w:rPr>
          <w:rFonts w:cstheme="minorHAnsi"/>
          <w:b/>
          <w:color w:val="000000" w:themeColor="text1"/>
          <w:sz w:val="28"/>
          <w:szCs w:val="24"/>
        </w:rPr>
      </w:pPr>
    </w:p>
    <w:p w14:paraId="005AD322" w14:textId="77777777" w:rsidR="008326C4" w:rsidRPr="003542CB" w:rsidRDefault="008326C4" w:rsidP="00E3584D">
      <w:pPr>
        <w:spacing w:line="280" w:lineRule="atLeast"/>
        <w:rPr>
          <w:rFonts w:cstheme="minorHAnsi"/>
          <w:b/>
          <w:color w:val="000000" w:themeColor="text1"/>
          <w:sz w:val="28"/>
          <w:szCs w:val="24"/>
        </w:rPr>
      </w:pPr>
    </w:p>
    <w:p w14:paraId="376277C6" w14:textId="77777777" w:rsidR="008326C4" w:rsidRPr="003542CB" w:rsidRDefault="008326C4" w:rsidP="00E3584D">
      <w:pPr>
        <w:spacing w:line="280" w:lineRule="atLeast"/>
        <w:rPr>
          <w:rFonts w:cstheme="minorHAnsi"/>
          <w:b/>
          <w:color w:val="000000" w:themeColor="text1"/>
          <w:sz w:val="28"/>
          <w:szCs w:val="24"/>
        </w:rPr>
      </w:pPr>
    </w:p>
    <w:p w14:paraId="5799B827" w14:textId="77777777" w:rsidR="008326C4" w:rsidRPr="003542CB" w:rsidRDefault="008326C4" w:rsidP="00E3584D">
      <w:pPr>
        <w:spacing w:line="280" w:lineRule="atLeast"/>
        <w:rPr>
          <w:rFonts w:cstheme="minorHAnsi"/>
          <w:b/>
          <w:color w:val="000000" w:themeColor="text1"/>
          <w:sz w:val="28"/>
          <w:szCs w:val="24"/>
        </w:rPr>
      </w:pPr>
    </w:p>
    <w:p w14:paraId="3F3A947F" w14:textId="77777777" w:rsidR="008326C4" w:rsidRPr="003542CB" w:rsidRDefault="008326C4" w:rsidP="00E3584D">
      <w:pPr>
        <w:spacing w:line="280" w:lineRule="atLeast"/>
        <w:rPr>
          <w:rFonts w:cstheme="minorHAnsi"/>
          <w:b/>
          <w:color w:val="000000" w:themeColor="text1"/>
          <w:sz w:val="28"/>
          <w:szCs w:val="24"/>
        </w:rPr>
      </w:pPr>
    </w:p>
    <w:p w14:paraId="455FAE4B" w14:textId="77777777" w:rsidR="008326C4" w:rsidRPr="003542CB" w:rsidRDefault="008326C4" w:rsidP="00E3584D">
      <w:pPr>
        <w:spacing w:line="280" w:lineRule="atLeast"/>
        <w:rPr>
          <w:rFonts w:cstheme="minorHAnsi"/>
          <w:b/>
          <w:color w:val="000000" w:themeColor="text1"/>
          <w:sz w:val="28"/>
          <w:szCs w:val="24"/>
        </w:rPr>
      </w:pPr>
    </w:p>
    <w:p w14:paraId="02AE4B24" w14:textId="77777777" w:rsidR="008326C4" w:rsidRPr="003542CB" w:rsidRDefault="008326C4" w:rsidP="00E3584D">
      <w:pPr>
        <w:spacing w:line="280" w:lineRule="atLeast"/>
        <w:rPr>
          <w:rFonts w:cstheme="minorHAnsi"/>
          <w:color w:val="000000" w:themeColor="text1"/>
          <w:sz w:val="24"/>
          <w:szCs w:val="24"/>
        </w:rPr>
      </w:pPr>
      <w:r w:rsidRPr="003542CB">
        <w:rPr>
          <w:rFonts w:cstheme="minorHAnsi"/>
          <w:color w:val="000000" w:themeColor="text1"/>
          <w:sz w:val="24"/>
          <w:szCs w:val="24"/>
        </w:rPr>
        <w:t>Zpracoval:</w:t>
      </w:r>
      <w:r w:rsidRPr="003542CB">
        <w:rPr>
          <w:rFonts w:cstheme="minorHAnsi"/>
          <w:color w:val="000000" w:themeColor="text1"/>
          <w:sz w:val="24"/>
          <w:szCs w:val="24"/>
        </w:rPr>
        <w:tab/>
        <w:t>Ing. Miroslav Vacovský</w:t>
      </w:r>
    </w:p>
    <w:p w14:paraId="73855A06" w14:textId="77777777" w:rsidR="008326C4" w:rsidRPr="003542CB" w:rsidRDefault="008326C4" w:rsidP="00E3584D">
      <w:pPr>
        <w:spacing w:line="280" w:lineRule="atLeast"/>
        <w:rPr>
          <w:rFonts w:cstheme="minorHAnsi"/>
          <w:color w:val="000000" w:themeColor="text1"/>
          <w:sz w:val="24"/>
          <w:szCs w:val="24"/>
        </w:rPr>
      </w:pPr>
    </w:p>
    <w:p w14:paraId="5DDB8FFE" w14:textId="1D35FEC6" w:rsidR="008326C4" w:rsidRPr="003542CB" w:rsidRDefault="00123FAC" w:rsidP="00E3584D">
      <w:pPr>
        <w:spacing w:line="280" w:lineRule="atLeast"/>
        <w:rPr>
          <w:rFonts w:cstheme="minorHAnsi"/>
          <w:b/>
          <w:color w:val="000000" w:themeColor="text1"/>
          <w:sz w:val="28"/>
          <w:szCs w:val="24"/>
        </w:rPr>
      </w:pPr>
      <w:r w:rsidRPr="003542CB">
        <w:rPr>
          <w:rFonts w:cstheme="minorHAnsi"/>
          <w:color w:val="000000" w:themeColor="text1"/>
          <w:sz w:val="24"/>
          <w:szCs w:val="24"/>
        </w:rPr>
        <w:t xml:space="preserve">Datum: </w:t>
      </w:r>
      <w:r w:rsidRPr="003542CB">
        <w:rPr>
          <w:rFonts w:cstheme="minorHAnsi"/>
          <w:color w:val="000000" w:themeColor="text1"/>
          <w:sz w:val="24"/>
          <w:szCs w:val="24"/>
        </w:rPr>
        <w:tab/>
      </w:r>
      <w:r w:rsidR="00FC12FE" w:rsidRPr="003542CB">
        <w:rPr>
          <w:rFonts w:cstheme="minorHAnsi"/>
          <w:color w:val="000000" w:themeColor="text1"/>
          <w:sz w:val="24"/>
          <w:szCs w:val="24"/>
        </w:rPr>
        <w:t>19</w:t>
      </w:r>
      <w:r w:rsidR="008326C4" w:rsidRPr="003542CB">
        <w:rPr>
          <w:rFonts w:cstheme="minorHAnsi"/>
          <w:color w:val="000000" w:themeColor="text1"/>
          <w:sz w:val="24"/>
          <w:szCs w:val="24"/>
        </w:rPr>
        <w:t>.</w:t>
      </w:r>
      <w:r w:rsidR="005A25C4" w:rsidRPr="003542CB">
        <w:rPr>
          <w:rFonts w:cstheme="minorHAnsi"/>
          <w:color w:val="000000" w:themeColor="text1"/>
          <w:sz w:val="24"/>
          <w:szCs w:val="24"/>
        </w:rPr>
        <w:t xml:space="preserve"> </w:t>
      </w:r>
      <w:r w:rsidR="00FC12FE" w:rsidRPr="003542CB">
        <w:rPr>
          <w:rFonts w:cstheme="minorHAnsi"/>
          <w:color w:val="000000" w:themeColor="text1"/>
          <w:sz w:val="24"/>
          <w:szCs w:val="24"/>
        </w:rPr>
        <w:t>3</w:t>
      </w:r>
      <w:r w:rsidR="008326C4" w:rsidRPr="003542CB">
        <w:rPr>
          <w:rFonts w:cstheme="minorHAnsi"/>
          <w:color w:val="000000" w:themeColor="text1"/>
          <w:sz w:val="24"/>
          <w:szCs w:val="24"/>
        </w:rPr>
        <w:t>.</w:t>
      </w:r>
      <w:r w:rsidR="005A25C4" w:rsidRPr="003542CB">
        <w:rPr>
          <w:rFonts w:cstheme="minorHAnsi"/>
          <w:color w:val="000000" w:themeColor="text1"/>
          <w:sz w:val="24"/>
          <w:szCs w:val="24"/>
        </w:rPr>
        <w:t xml:space="preserve"> </w:t>
      </w:r>
      <w:r w:rsidR="008326C4" w:rsidRPr="003542CB">
        <w:rPr>
          <w:rFonts w:cstheme="minorHAnsi"/>
          <w:color w:val="000000" w:themeColor="text1"/>
          <w:sz w:val="24"/>
          <w:szCs w:val="24"/>
        </w:rPr>
        <w:t>20</w:t>
      </w:r>
      <w:r w:rsidR="00BE141A" w:rsidRPr="003542CB">
        <w:rPr>
          <w:rFonts w:cstheme="minorHAnsi"/>
          <w:color w:val="000000" w:themeColor="text1"/>
          <w:sz w:val="24"/>
          <w:szCs w:val="24"/>
        </w:rPr>
        <w:t>21</w:t>
      </w:r>
    </w:p>
    <w:p w14:paraId="4B2FDEC3" w14:textId="77777777" w:rsidR="008326C4" w:rsidRPr="003542CB" w:rsidRDefault="008326C4" w:rsidP="00E3584D">
      <w:pPr>
        <w:spacing w:line="280" w:lineRule="atLeast"/>
        <w:rPr>
          <w:rFonts w:cstheme="minorHAnsi"/>
          <w:b/>
          <w:color w:val="000000" w:themeColor="text1"/>
          <w:sz w:val="28"/>
          <w:szCs w:val="24"/>
        </w:rPr>
        <w:sectPr w:rsidR="008326C4" w:rsidRPr="003542CB">
          <w:headerReference w:type="default" r:id="rId8"/>
          <w:footerReference w:type="default" r:id="rId9"/>
          <w:pgSz w:w="11906" w:h="16838"/>
          <w:pgMar w:top="1417" w:right="1417" w:bottom="1417" w:left="1417" w:header="708" w:footer="708" w:gutter="0"/>
          <w:cols w:space="708"/>
          <w:docGrid w:linePitch="360"/>
        </w:sectPr>
      </w:pPr>
    </w:p>
    <w:p w14:paraId="0681B05E" w14:textId="77777777" w:rsidR="002819B5" w:rsidRPr="003542CB" w:rsidRDefault="002819B5" w:rsidP="00E3584D">
      <w:pPr>
        <w:pStyle w:val="Nadpis1"/>
        <w:spacing w:line="280" w:lineRule="atLeast"/>
        <w:jc w:val="center"/>
        <w:rPr>
          <w:rFonts w:asciiTheme="minorHAnsi" w:hAnsiTheme="minorHAnsi" w:cstheme="minorHAnsi"/>
          <w:b/>
          <w:color w:val="000000" w:themeColor="text1"/>
        </w:rPr>
      </w:pPr>
      <w:bookmarkStart w:id="0" w:name="_Toc473200648"/>
      <w:bookmarkStart w:id="1" w:name="_Toc473201388"/>
      <w:bookmarkStart w:id="2" w:name="_Toc75366877"/>
      <w:bookmarkStart w:id="3" w:name="_Toc473200647"/>
      <w:r w:rsidRPr="003542CB">
        <w:rPr>
          <w:rFonts w:asciiTheme="minorHAnsi" w:hAnsiTheme="minorHAnsi" w:cstheme="minorHAnsi"/>
          <w:b/>
          <w:color w:val="000000" w:themeColor="text1"/>
        </w:rPr>
        <w:lastRenderedPageBreak/>
        <w:t>1. OBSAH</w:t>
      </w:r>
      <w:bookmarkEnd w:id="0"/>
      <w:bookmarkEnd w:id="1"/>
      <w:bookmarkEnd w:id="2"/>
    </w:p>
    <w:sdt>
      <w:sdtPr>
        <w:rPr>
          <w:rFonts w:asciiTheme="minorHAnsi" w:eastAsiaTheme="minorHAnsi" w:hAnsiTheme="minorHAnsi" w:cstheme="minorHAnsi"/>
          <w:color w:val="000000" w:themeColor="text1"/>
          <w:sz w:val="22"/>
          <w:szCs w:val="22"/>
          <w:lang w:eastAsia="en-US"/>
        </w:rPr>
        <w:id w:val="-1811396760"/>
        <w:docPartObj>
          <w:docPartGallery w:val="Table of Contents"/>
          <w:docPartUnique/>
        </w:docPartObj>
      </w:sdtPr>
      <w:sdtEndPr>
        <w:rPr>
          <w:b/>
          <w:bCs/>
        </w:rPr>
      </w:sdtEndPr>
      <w:sdtContent>
        <w:p w14:paraId="3857AB3D" w14:textId="77777777" w:rsidR="00AE2B74" w:rsidRPr="00116923" w:rsidRDefault="00AE2B74" w:rsidP="00E3584D">
          <w:pPr>
            <w:pStyle w:val="Nadpisobsahu"/>
            <w:spacing w:line="280" w:lineRule="atLeast"/>
            <w:rPr>
              <w:rFonts w:asciiTheme="minorHAnsi" w:hAnsiTheme="minorHAnsi" w:cstheme="minorHAnsi"/>
              <w:color w:val="000000" w:themeColor="text1"/>
            </w:rPr>
          </w:pPr>
        </w:p>
        <w:p w14:paraId="61AE9DCA" w14:textId="7F1BF228" w:rsidR="009267F8" w:rsidRPr="00116923" w:rsidRDefault="00AE2B74" w:rsidP="00B86332">
          <w:pPr>
            <w:pStyle w:val="Obsah1"/>
            <w:spacing w:before="0" w:after="40"/>
            <w:rPr>
              <w:rFonts w:eastAsiaTheme="minorEastAsia"/>
              <w:noProof/>
              <w:lang w:eastAsia="cs-CZ"/>
            </w:rPr>
          </w:pPr>
          <w:r w:rsidRPr="00116923">
            <w:rPr>
              <w:rFonts w:cstheme="minorHAnsi"/>
              <w:color w:val="000000" w:themeColor="text1"/>
            </w:rPr>
            <w:fldChar w:fldCharType="begin"/>
          </w:r>
          <w:r w:rsidRPr="00116923">
            <w:rPr>
              <w:rFonts w:cstheme="minorHAnsi"/>
              <w:color w:val="000000" w:themeColor="text1"/>
            </w:rPr>
            <w:instrText xml:space="preserve"> TOC \o "1-3" \h \z \u </w:instrText>
          </w:r>
          <w:r w:rsidRPr="00116923">
            <w:rPr>
              <w:rFonts w:cstheme="minorHAnsi"/>
              <w:color w:val="000000" w:themeColor="text1"/>
            </w:rPr>
            <w:fldChar w:fldCharType="separate"/>
          </w:r>
          <w:hyperlink w:anchor="_Toc75366877" w:history="1">
            <w:r w:rsidR="009267F8" w:rsidRPr="00116923">
              <w:rPr>
                <w:rStyle w:val="Hypertextovodkaz"/>
                <w:rFonts w:cstheme="minorHAnsi"/>
                <w:noProof/>
              </w:rPr>
              <w:t>1. OBSAH</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_Toc75366877 \h </w:instrText>
            </w:r>
            <w:r w:rsidR="009267F8" w:rsidRPr="00116923">
              <w:rPr>
                <w:noProof/>
                <w:webHidden/>
              </w:rPr>
            </w:r>
            <w:r w:rsidR="009267F8" w:rsidRPr="00116923">
              <w:rPr>
                <w:noProof/>
                <w:webHidden/>
              </w:rPr>
              <w:fldChar w:fldCharType="separate"/>
            </w:r>
            <w:r w:rsidR="00733223">
              <w:rPr>
                <w:noProof/>
                <w:webHidden/>
              </w:rPr>
              <w:t>2</w:t>
            </w:r>
            <w:r w:rsidR="009267F8" w:rsidRPr="00116923">
              <w:rPr>
                <w:noProof/>
                <w:webHidden/>
              </w:rPr>
              <w:fldChar w:fldCharType="end"/>
            </w:r>
          </w:hyperlink>
        </w:p>
        <w:p w14:paraId="02E82A06" w14:textId="0356CCE6" w:rsidR="009267F8" w:rsidRPr="00116923" w:rsidRDefault="00B330BA" w:rsidP="00B86332">
          <w:pPr>
            <w:pStyle w:val="Obsah1"/>
            <w:spacing w:before="0" w:after="40"/>
            <w:rPr>
              <w:rFonts w:eastAsiaTheme="minorEastAsia"/>
              <w:noProof/>
              <w:lang w:eastAsia="cs-CZ"/>
            </w:rPr>
          </w:pPr>
          <w:hyperlink w:anchor="_Toc75366878" w:history="1">
            <w:r w:rsidR="009267F8" w:rsidRPr="00116923">
              <w:rPr>
                <w:rStyle w:val="Hypertextovodkaz"/>
                <w:rFonts w:cstheme="minorHAnsi"/>
                <w:noProof/>
              </w:rPr>
              <w:t>2. ÚVOD A SHRNUTÍ</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_Toc75366878 \h </w:instrText>
            </w:r>
            <w:r w:rsidR="009267F8" w:rsidRPr="00116923">
              <w:rPr>
                <w:noProof/>
                <w:webHidden/>
              </w:rPr>
            </w:r>
            <w:r w:rsidR="009267F8" w:rsidRPr="00116923">
              <w:rPr>
                <w:noProof/>
                <w:webHidden/>
              </w:rPr>
              <w:fldChar w:fldCharType="separate"/>
            </w:r>
            <w:r w:rsidR="00733223">
              <w:rPr>
                <w:noProof/>
                <w:webHidden/>
              </w:rPr>
              <w:t>3</w:t>
            </w:r>
            <w:r w:rsidR="009267F8" w:rsidRPr="00116923">
              <w:rPr>
                <w:noProof/>
                <w:webHidden/>
              </w:rPr>
              <w:fldChar w:fldCharType="end"/>
            </w:r>
          </w:hyperlink>
        </w:p>
        <w:p w14:paraId="1FA0E147" w14:textId="6589D749" w:rsidR="009267F8" w:rsidRPr="00116923" w:rsidRDefault="00B330BA" w:rsidP="00B86332">
          <w:pPr>
            <w:pStyle w:val="Obsah2"/>
            <w:spacing w:after="40"/>
            <w:rPr>
              <w:rFonts w:eastAsiaTheme="minorEastAsia" w:cstheme="minorBidi"/>
              <w:b w:val="0"/>
              <w:bCs w:val="0"/>
              <w:lang w:eastAsia="cs-CZ"/>
            </w:rPr>
          </w:pPr>
          <w:hyperlink w:anchor="_Toc75366879" w:history="1">
            <w:r w:rsidR="009267F8" w:rsidRPr="00116923">
              <w:rPr>
                <w:rStyle w:val="Hypertextovodkaz"/>
                <w:b w:val="0"/>
                <w:bCs w:val="0"/>
              </w:rPr>
              <w:t>2.1. Shrnutí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_Toc75366879 \h </w:instrText>
            </w:r>
            <w:r w:rsidR="009267F8" w:rsidRPr="00116923">
              <w:rPr>
                <w:b w:val="0"/>
                <w:bCs w:val="0"/>
                <w:webHidden/>
              </w:rPr>
            </w:r>
            <w:r w:rsidR="009267F8" w:rsidRPr="00116923">
              <w:rPr>
                <w:b w:val="0"/>
                <w:bCs w:val="0"/>
                <w:webHidden/>
              </w:rPr>
              <w:fldChar w:fldCharType="separate"/>
            </w:r>
            <w:r w:rsidR="00733223">
              <w:rPr>
                <w:b w:val="0"/>
                <w:bCs w:val="0"/>
                <w:webHidden/>
              </w:rPr>
              <w:t>3</w:t>
            </w:r>
            <w:r w:rsidR="009267F8" w:rsidRPr="00116923">
              <w:rPr>
                <w:b w:val="0"/>
                <w:bCs w:val="0"/>
                <w:webHidden/>
              </w:rPr>
              <w:fldChar w:fldCharType="end"/>
            </w:r>
          </w:hyperlink>
        </w:p>
        <w:p w14:paraId="79EF2401" w14:textId="4A62DAC9" w:rsidR="009267F8" w:rsidRPr="00116923" w:rsidRDefault="00B330BA" w:rsidP="00B86332">
          <w:pPr>
            <w:pStyle w:val="Obsah1"/>
            <w:spacing w:before="0" w:after="40"/>
            <w:rPr>
              <w:rFonts w:eastAsiaTheme="minorEastAsia"/>
              <w:noProof/>
              <w:lang w:eastAsia="cs-CZ"/>
            </w:rPr>
          </w:pPr>
          <w:hyperlink w:anchor="_Toc75366880" w:history="1">
            <w:r w:rsidR="009267F8" w:rsidRPr="00116923">
              <w:rPr>
                <w:rStyle w:val="Hypertextovodkaz"/>
                <w:rFonts w:cstheme="minorHAnsi"/>
                <w:noProof/>
              </w:rPr>
              <w:t>3. ČINNOST A VÝSLEDKY</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_Toc75366880 \h </w:instrText>
            </w:r>
            <w:r w:rsidR="009267F8" w:rsidRPr="00116923">
              <w:rPr>
                <w:noProof/>
                <w:webHidden/>
              </w:rPr>
            </w:r>
            <w:r w:rsidR="009267F8" w:rsidRPr="00116923">
              <w:rPr>
                <w:noProof/>
                <w:webHidden/>
              </w:rPr>
              <w:fldChar w:fldCharType="separate"/>
            </w:r>
            <w:r w:rsidR="00733223">
              <w:rPr>
                <w:noProof/>
                <w:webHidden/>
              </w:rPr>
              <w:t>4</w:t>
            </w:r>
            <w:r w:rsidR="009267F8" w:rsidRPr="00116923">
              <w:rPr>
                <w:noProof/>
                <w:webHidden/>
              </w:rPr>
              <w:fldChar w:fldCharType="end"/>
            </w:r>
          </w:hyperlink>
        </w:p>
        <w:p w14:paraId="66452895" w14:textId="07CC19D7" w:rsidR="009267F8" w:rsidRPr="00116923" w:rsidRDefault="00B330BA" w:rsidP="00B86332">
          <w:pPr>
            <w:pStyle w:val="Obsah2"/>
            <w:spacing w:after="40"/>
            <w:rPr>
              <w:rFonts w:eastAsiaTheme="minorEastAsia" w:cstheme="minorBidi"/>
              <w:b w:val="0"/>
              <w:bCs w:val="0"/>
              <w:lang w:eastAsia="cs-CZ"/>
            </w:rPr>
          </w:pPr>
          <w:hyperlink w:anchor="_Toc75366881" w:history="1">
            <w:r w:rsidR="009267F8" w:rsidRPr="00116923">
              <w:rPr>
                <w:rStyle w:val="Hypertextovodkaz"/>
                <w:b w:val="0"/>
                <w:bCs w:val="0"/>
              </w:rPr>
              <w:t>3.1. Identifikace pojišťovny</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_Toc75366881 \h </w:instrText>
            </w:r>
            <w:r w:rsidR="009267F8" w:rsidRPr="00116923">
              <w:rPr>
                <w:b w:val="0"/>
                <w:bCs w:val="0"/>
                <w:webHidden/>
              </w:rPr>
            </w:r>
            <w:r w:rsidR="009267F8" w:rsidRPr="00116923">
              <w:rPr>
                <w:b w:val="0"/>
                <w:bCs w:val="0"/>
                <w:webHidden/>
              </w:rPr>
              <w:fldChar w:fldCharType="separate"/>
            </w:r>
            <w:r w:rsidR="00733223">
              <w:rPr>
                <w:b w:val="0"/>
                <w:bCs w:val="0"/>
                <w:webHidden/>
              </w:rPr>
              <w:t>4</w:t>
            </w:r>
            <w:r w:rsidR="009267F8" w:rsidRPr="00116923">
              <w:rPr>
                <w:b w:val="0"/>
                <w:bCs w:val="0"/>
                <w:webHidden/>
              </w:rPr>
              <w:fldChar w:fldCharType="end"/>
            </w:r>
          </w:hyperlink>
        </w:p>
        <w:p w14:paraId="0632BD77" w14:textId="194ED8FD" w:rsidR="009267F8" w:rsidRPr="00116923" w:rsidRDefault="00B330BA" w:rsidP="00B86332">
          <w:pPr>
            <w:pStyle w:val="Obsah2"/>
            <w:spacing w:after="40"/>
            <w:rPr>
              <w:rFonts w:eastAsiaTheme="minorEastAsia" w:cstheme="minorBidi"/>
              <w:b w:val="0"/>
              <w:bCs w:val="0"/>
              <w:lang w:eastAsia="cs-CZ"/>
            </w:rPr>
          </w:pPr>
          <w:hyperlink w:anchor="_Toc75366882" w:history="1">
            <w:r w:rsidR="009267F8" w:rsidRPr="00116923">
              <w:rPr>
                <w:rStyle w:val="Hypertextovodkaz"/>
                <w:b w:val="0"/>
                <w:bCs w:val="0"/>
              </w:rPr>
              <w:t>3.2. Struktura skupiny</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_Toc75366882 \h </w:instrText>
            </w:r>
            <w:r w:rsidR="009267F8" w:rsidRPr="00116923">
              <w:rPr>
                <w:b w:val="0"/>
                <w:bCs w:val="0"/>
                <w:webHidden/>
              </w:rPr>
            </w:r>
            <w:r w:rsidR="009267F8" w:rsidRPr="00116923">
              <w:rPr>
                <w:b w:val="0"/>
                <w:bCs w:val="0"/>
                <w:webHidden/>
              </w:rPr>
              <w:fldChar w:fldCharType="separate"/>
            </w:r>
            <w:r w:rsidR="00733223">
              <w:rPr>
                <w:b w:val="0"/>
                <w:bCs w:val="0"/>
                <w:webHidden/>
              </w:rPr>
              <w:t>4</w:t>
            </w:r>
            <w:r w:rsidR="009267F8" w:rsidRPr="00116923">
              <w:rPr>
                <w:b w:val="0"/>
                <w:bCs w:val="0"/>
                <w:webHidden/>
              </w:rPr>
              <w:fldChar w:fldCharType="end"/>
            </w:r>
          </w:hyperlink>
        </w:p>
        <w:p w14:paraId="639B2FD5" w14:textId="35194830" w:rsidR="009267F8" w:rsidRPr="00116923" w:rsidRDefault="00B330BA" w:rsidP="00B86332">
          <w:pPr>
            <w:pStyle w:val="Obsah2"/>
            <w:spacing w:after="40"/>
            <w:rPr>
              <w:rFonts w:eastAsiaTheme="minorEastAsia" w:cstheme="minorBidi"/>
              <w:b w:val="0"/>
              <w:bCs w:val="0"/>
              <w:lang w:eastAsia="cs-CZ"/>
            </w:rPr>
          </w:pPr>
          <w:hyperlink w:anchor="_Toc75366883" w:history="1">
            <w:r w:rsidR="009267F8" w:rsidRPr="00116923">
              <w:rPr>
                <w:rStyle w:val="Hypertextovodkaz"/>
                <w:b w:val="0"/>
                <w:bCs w:val="0"/>
              </w:rPr>
              <w:t>3.3. Činnost pojišťovny v roce 2020</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_Toc75366883 \h </w:instrText>
            </w:r>
            <w:r w:rsidR="009267F8" w:rsidRPr="00116923">
              <w:rPr>
                <w:b w:val="0"/>
                <w:bCs w:val="0"/>
                <w:webHidden/>
              </w:rPr>
            </w:r>
            <w:r w:rsidR="009267F8" w:rsidRPr="00116923">
              <w:rPr>
                <w:b w:val="0"/>
                <w:bCs w:val="0"/>
                <w:webHidden/>
              </w:rPr>
              <w:fldChar w:fldCharType="separate"/>
            </w:r>
            <w:r w:rsidR="00733223">
              <w:rPr>
                <w:b w:val="0"/>
                <w:bCs w:val="0"/>
                <w:webHidden/>
              </w:rPr>
              <w:t>5</w:t>
            </w:r>
            <w:r w:rsidR="009267F8" w:rsidRPr="00116923">
              <w:rPr>
                <w:b w:val="0"/>
                <w:bCs w:val="0"/>
                <w:webHidden/>
              </w:rPr>
              <w:fldChar w:fldCharType="end"/>
            </w:r>
          </w:hyperlink>
        </w:p>
        <w:p w14:paraId="5386E1A8" w14:textId="4220DEB9" w:rsidR="009267F8" w:rsidRPr="00116923" w:rsidRDefault="00B330BA" w:rsidP="00B86332">
          <w:pPr>
            <w:pStyle w:val="Obsah2"/>
            <w:spacing w:after="40"/>
            <w:rPr>
              <w:rFonts w:eastAsiaTheme="minorEastAsia" w:cstheme="minorBidi"/>
              <w:b w:val="0"/>
              <w:bCs w:val="0"/>
              <w:lang w:eastAsia="cs-CZ"/>
            </w:rPr>
          </w:pPr>
          <w:hyperlink w:anchor="_Toc75366884" w:history="1">
            <w:r w:rsidR="009267F8" w:rsidRPr="00116923">
              <w:rPr>
                <w:rStyle w:val="Hypertextovodkaz"/>
                <w:b w:val="0"/>
                <w:bCs w:val="0"/>
              </w:rPr>
              <w:t>3.4. Výsledky Pojišťovny za rok 2020 v oblasti upisování a očekávání pro rok 2021</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_Toc75366884 \h </w:instrText>
            </w:r>
            <w:r w:rsidR="009267F8" w:rsidRPr="00116923">
              <w:rPr>
                <w:b w:val="0"/>
                <w:bCs w:val="0"/>
                <w:webHidden/>
              </w:rPr>
            </w:r>
            <w:r w:rsidR="009267F8" w:rsidRPr="00116923">
              <w:rPr>
                <w:b w:val="0"/>
                <w:bCs w:val="0"/>
                <w:webHidden/>
              </w:rPr>
              <w:fldChar w:fldCharType="separate"/>
            </w:r>
            <w:r w:rsidR="00733223">
              <w:rPr>
                <w:b w:val="0"/>
                <w:bCs w:val="0"/>
                <w:webHidden/>
              </w:rPr>
              <w:t>6</w:t>
            </w:r>
            <w:r w:rsidR="009267F8" w:rsidRPr="00116923">
              <w:rPr>
                <w:b w:val="0"/>
                <w:bCs w:val="0"/>
                <w:webHidden/>
              </w:rPr>
              <w:fldChar w:fldCharType="end"/>
            </w:r>
          </w:hyperlink>
        </w:p>
        <w:p w14:paraId="788BDDB8" w14:textId="7EE4DACE" w:rsidR="009267F8" w:rsidRPr="00116923" w:rsidRDefault="00B330BA" w:rsidP="00B86332">
          <w:pPr>
            <w:pStyle w:val="Obsah2"/>
            <w:spacing w:after="40"/>
            <w:rPr>
              <w:rFonts w:eastAsiaTheme="minorEastAsia" w:cstheme="minorBidi"/>
              <w:b w:val="0"/>
              <w:bCs w:val="0"/>
              <w:lang w:eastAsia="cs-CZ"/>
            </w:rPr>
          </w:pPr>
          <w:hyperlink w:anchor="_Toc75366885" w:history="1">
            <w:r w:rsidR="009267F8" w:rsidRPr="00116923">
              <w:rPr>
                <w:rStyle w:val="Hypertextovodkaz"/>
                <w:b w:val="0"/>
                <w:bCs w:val="0"/>
              </w:rPr>
              <w:t>3.5. Výsledky Pojišťovny za rok 2020 v oblasti investic</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_Toc75366885 \h </w:instrText>
            </w:r>
            <w:r w:rsidR="009267F8" w:rsidRPr="00116923">
              <w:rPr>
                <w:b w:val="0"/>
                <w:bCs w:val="0"/>
                <w:webHidden/>
              </w:rPr>
            </w:r>
            <w:r w:rsidR="009267F8" w:rsidRPr="00116923">
              <w:rPr>
                <w:b w:val="0"/>
                <w:bCs w:val="0"/>
                <w:webHidden/>
              </w:rPr>
              <w:fldChar w:fldCharType="separate"/>
            </w:r>
            <w:r w:rsidR="00733223">
              <w:rPr>
                <w:b w:val="0"/>
                <w:bCs w:val="0"/>
                <w:webHidden/>
              </w:rPr>
              <w:t>8</w:t>
            </w:r>
            <w:r w:rsidR="009267F8" w:rsidRPr="00116923">
              <w:rPr>
                <w:b w:val="0"/>
                <w:bCs w:val="0"/>
                <w:webHidden/>
              </w:rPr>
              <w:fldChar w:fldCharType="end"/>
            </w:r>
          </w:hyperlink>
        </w:p>
        <w:p w14:paraId="28C5C711" w14:textId="6394FC76" w:rsidR="009267F8" w:rsidRPr="00116923" w:rsidRDefault="00B330BA" w:rsidP="00B86332">
          <w:pPr>
            <w:pStyle w:val="Obsah2"/>
            <w:spacing w:after="40"/>
            <w:rPr>
              <w:rFonts w:eastAsiaTheme="minorEastAsia" w:cstheme="minorBidi"/>
              <w:b w:val="0"/>
              <w:bCs w:val="0"/>
              <w:lang w:eastAsia="cs-CZ"/>
            </w:rPr>
          </w:pPr>
          <w:hyperlink w:anchor="_Toc75366886" w:history="1">
            <w:r w:rsidR="009267F8" w:rsidRPr="00116923">
              <w:rPr>
                <w:rStyle w:val="Hypertextovodkaz"/>
                <w:b w:val="0"/>
                <w:bCs w:val="0"/>
              </w:rPr>
              <w:t>3.6. Zajištění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_Toc75366886 \h </w:instrText>
            </w:r>
            <w:r w:rsidR="009267F8" w:rsidRPr="00116923">
              <w:rPr>
                <w:b w:val="0"/>
                <w:bCs w:val="0"/>
                <w:webHidden/>
              </w:rPr>
            </w:r>
            <w:r w:rsidR="009267F8" w:rsidRPr="00116923">
              <w:rPr>
                <w:b w:val="0"/>
                <w:bCs w:val="0"/>
                <w:webHidden/>
              </w:rPr>
              <w:fldChar w:fldCharType="separate"/>
            </w:r>
            <w:r w:rsidR="00733223">
              <w:rPr>
                <w:b w:val="0"/>
                <w:bCs w:val="0"/>
                <w:webHidden/>
              </w:rPr>
              <w:t>8</w:t>
            </w:r>
            <w:r w:rsidR="009267F8" w:rsidRPr="00116923">
              <w:rPr>
                <w:b w:val="0"/>
                <w:bCs w:val="0"/>
                <w:webHidden/>
              </w:rPr>
              <w:fldChar w:fldCharType="end"/>
            </w:r>
          </w:hyperlink>
        </w:p>
        <w:p w14:paraId="4672AE51" w14:textId="5435EB55" w:rsidR="009267F8" w:rsidRPr="00116923" w:rsidRDefault="00B330BA" w:rsidP="00B86332">
          <w:pPr>
            <w:pStyle w:val="Obsah1"/>
            <w:spacing w:before="0" w:after="40"/>
            <w:rPr>
              <w:rFonts w:eastAsiaTheme="minorEastAsia"/>
              <w:noProof/>
              <w:lang w:eastAsia="cs-CZ"/>
            </w:rPr>
          </w:pPr>
          <w:hyperlink w:anchor="_Toc75366887" w:history="1">
            <w:r w:rsidR="009267F8" w:rsidRPr="00116923">
              <w:rPr>
                <w:rStyle w:val="Hypertextovodkaz"/>
                <w:rFonts w:cstheme="minorHAnsi"/>
                <w:noProof/>
              </w:rPr>
              <w:t>4. ŘÍDÍCÍ A KONTROLNÍ SYSTÉM</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_Toc75366887 \h </w:instrText>
            </w:r>
            <w:r w:rsidR="009267F8" w:rsidRPr="00116923">
              <w:rPr>
                <w:noProof/>
                <w:webHidden/>
              </w:rPr>
            </w:r>
            <w:r w:rsidR="009267F8" w:rsidRPr="00116923">
              <w:rPr>
                <w:noProof/>
                <w:webHidden/>
              </w:rPr>
              <w:fldChar w:fldCharType="separate"/>
            </w:r>
            <w:r w:rsidR="00733223">
              <w:rPr>
                <w:noProof/>
                <w:webHidden/>
              </w:rPr>
              <w:t>9</w:t>
            </w:r>
            <w:r w:rsidR="009267F8" w:rsidRPr="00116923">
              <w:rPr>
                <w:noProof/>
                <w:webHidden/>
              </w:rPr>
              <w:fldChar w:fldCharType="end"/>
            </w:r>
          </w:hyperlink>
        </w:p>
        <w:p w14:paraId="38963CC8" w14:textId="29BD9E03" w:rsidR="009267F8" w:rsidRPr="00116923" w:rsidRDefault="00B330BA" w:rsidP="00B86332">
          <w:pPr>
            <w:pStyle w:val="Obsah2"/>
            <w:spacing w:after="40"/>
            <w:rPr>
              <w:rFonts w:eastAsiaTheme="minorEastAsia" w:cstheme="minorBidi"/>
              <w:b w:val="0"/>
              <w:bCs w:val="0"/>
              <w:lang w:eastAsia="cs-CZ"/>
            </w:rPr>
          </w:pPr>
          <w:hyperlink w:anchor="_Toc75366888" w:history="1">
            <w:r w:rsidR="009267F8" w:rsidRPr="00116923">
              <w:rPr>
                <w:rStyle w:val="Hypertextovodkaz"/>
                <w:b w:val="0"/>
                <w:bCs w:val="0"/>
              </w:rPr>
              <w:t>4.1. Hlavní orgány Vitalitas pojišťovny, a.s.</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_Toc75366888 \h </w:instrText>
            </w:r>
            <w:r w:rsidR="009267F8" w:rsidRPr="00116923">
              <w:rPr>
                <w:b w:val="0"/>
                <w:bCs w:val="0"/>
                <w:webHidden/>
              </w:rPr>
            </w:r>
            <w:r w:rsidR="009267F8" w:rsidRPr="00116923">
              <w:rPr>
                <w:b w:val="0"/>
                <w:bCs w:val="0"/>
                <w:webHidden/>
              </w:rPr>
              <w:fldChar w:fldCharType="separate"/>
            </w:r>
            <w:r w:rsidR="00733223">
              <w:rPr>
                <w:b w:val="0"/>
                <w:bCs w:val="0"/>
                <w:webHidden/>
              </w:rPr>
              <w:t>9</w:t>
            </w:r>
            <w:r w:rsidR="009267F8" w:rsidRPr="00116923">
              <w:rPr>
                <w:b w:val="0"/>
                <w:bCs w:val="0"/>
                <w:webHidden/>
              </w:rPr>
              <w:fldChar w:fldCharType="end"/>
            </w:r>
          </w:hyperlink>
        </w:p>
        <w:p w14:paraId="76A698F3" w14:textId="2F38CC37" w:rsidR="009267F8" w:rsidRPr="00116923" w:rsidRDefault="00B330BA" w:rsidP="00B86332">
          <w:pPr>
            <w:pStyle w:val="Obsah2"/>
            <w:spacing w:after="40"/>
            <w:rPr>
              <w:rFonts w:eastAsiaTheme="minorEastAsia" w:cstheme="minorBidi"/>
              <w:b w:val="0"/>
              <w:bCs w:val="0"/>
              <w:lang w:eastAsia="cs-CZ"/>
            </w:rPr>
          </w:pPr>
          <w:hyperlink w:anchor="_Toc75366889" w:history="1">
            <w:r w:rsidR="009267F8" w:rsidRPr="00116923">
              <w:rPr>
                <w:rStyle w:val="Hypertextovodkaz"/>
                <w:b w:val="0"/>
                <w:bCs w:val="0"/>
              </w:rPr>
              <w:t>4.2. Informace o řídícím a kontrolním systému</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_Toc75366889 \h </w:instrText>
            </w:r>
            <w:r w:rsidR="009267F8" w:rsidRPr="00116923">
              <w:rPr>
                <w:b w:val="0"/>
                <w:bCs w:val="0"/>
                <w:webHidden/>
              </w:rPr>
            </w:r>
            <w:r w:rsidR="009267F8" w:rsidRPr="00116923">
              <w:rPr>
                <w:b w:val="0"/>
                <w:bCs w:val="0"/>
                <w:webHidden/>
              </w:rPr>
              <w:fldChar w:fldCharType="separate"/>
            </w:r>
            <w:r w:rsidR="00733223">
              <w:rPr>
                <w:b w:val="0"/>
                <w:bCs w:val="0"/>
                <w:webHidden/>
              </w:rPr>
              <w:t>10</w:t>
            </w:r>
            <w:r w:rsidR="009267F8" w:rsidRPr="00116923">
              <w:rPr>
                <w:b w:val="0"/>
                <w:bCs w:val="0"/>
                <w:webHidden/>
              </w:rPr>
              <w:fldChar w:fldCharType="end"/>
            </w:r>
          </w:hyperlink>
        </w:p>
        <w:p w14:paraId="70468960" w14:textId="4C66DF43" w:rsidR="009267F8" w:rsidRPr="00116923" w:rsidRDefault="00B330BA" w:rsidP="00B86332">
          <w:pPr>
            <w:pStyle w:val="Obsah2"/>
            <w:spacing w:after="40"/>
            <w:rPr>
              <w:rFonts w:eastAsiaTheme="minorEastAsia" w:cstheme="minorBidi"/>
              <w:b w:val="0"/>
              <w:bCs w:val="0"/>
              <w:lang w:eastAsia="cs-CZ"/>
            </w:rPr>
          </w:pPr>
          <w:hyperlink w:anchor="_Toc75366890" w:history="1">
            <w:r w:rsidR="009267F8" w:rsidRPr="00116923">
              <w:rPr>
                <w:rStyle w:val="Hypertextovodkaz"/>
                <w:b w:val="0"/>
                <w:bCs w:val="0"/>
              </w:rPr>
              <w:t>4.3. Klíčové funkce v Pojišťovně</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_Toc75366890 \h </w:instrText>
            </w:r>
            <w:r w:rsidR="009267F8" w:rsidRPr="00116923">
              <w:rPr>
                <w:b w:val="0"/>
                <w:bCs w:val="0"/>
                <w:webHidden/>
              </w:rPr>
            </w:r>
            <w:r w:rsidR="009267F8" w:rsidRPr="00116923">
              <w:rPr>
                <w:b w:val="0"/>
                <w:bCs w:val="0"/>
                <w:webHidden/>
              </w:rPr>
              <w:fldChar w:fldCharType="separate"/>
            </w:r>
            <w:r w:rsidR="00733223">
              <w:rPr>
                <w:b w:val="0"/>
                <w:bCs w:val="0"/>
                <w:webHidden/>
              </w:rPr>
              <w:t>11</w:t>
            </w:r>
            <w:r w:rsidR="009267F8" w:rsidRPr="00116923">
              <w:rPr>
                <w:b w:val="0"/>
                <w:bCs w:val="0"/>
                <w:webHidden/>
              </w:rPr>
              <w:fldChar w:fldCharType="end"/>
            </w:r>
          </w:hyperlink>
        </w:p>
        <w:p w14:paraId="5D1125AE" w14:textId="46F63B86" w:rsidR="009267F8" w:rsidRPr="00116923" w:rsidRDefault="00B330BA" w:rsidP="00B86332">
          <w:pPr>
            <w:pStyle w:val="Obsah2"/>
            <w:spacing w:after="40"/>
            <w:rPr>
              <w:rFonts w:eastAsiaTheme="minorEastAsia" w:cstheme="minorBidi"/>
              <w:b w:val="0"/>
              <w:bCs w:val="0"/>
              <w:lang w:eastAsia="cs-CZ"/>
            </w:rPr>
          </w:pPr>
          <w:hyperlink w:anchor="_Toc75366891" w:history="1">
            <w:r w:rsidR="009267F8" w:rsidRPr="00116923">
              <w:rPr>
                <w:rStyle w:val="Hypertextovodkaz"/>
                <w:b w:val="0"/>
                <w:bCs w:val="0"/>
              </w:rPr>
              <w:t>4.4. Odměňování v Pojišťovně</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_Toc75366891 \h </w:instrText>
            </w:r>
            <w:r w:rsidR="009267F8" w:rsidRPr="00116923">
              <w:rPr>
                <w:b w:val="0"/>
                <w:bCs w:val="0"/>
                <w:webHidden/>
              </w:rPr>
            </w:r>
            <w:r w:rsidR="009267F8" w:rsidRPr="00116923">
              <w:rPr>
                <w:b w:val="0"/>
                <w:bCs w:val="0"/>
                <w:webHidden/>
              </w:rPr>
              <w:fldChar w:fldCharType="separate"/>
            </w:r>
            <w:r w:rsidR="00733223">
              <w:rPr>
                <w:b w:val="0"/>
                <w:bCs w:val="0"/>
                <w:webHidden/>
              </w:rPr>
              <w:t>12</w:t>
            </w:r>
            <w:r w:rsidR="009267F8" w:rsidRPr="00116923">
              <w:rPr>
                <w:b w:val="0"/>
                <w:bCs w:val="0"/>
                <w:webHidden/>
              </w:rPr>
              <w:fldChar w:fldCharType="end"/>
            </w:r>
          </w:hyperlink>
        </w:p>
        <w:p w14:paraId="75DF5D26" w14:textId="770719F9" w:rsidR="009267F8" w:rsidRPr="00116923" w:rsidRDefault="00B330BA" w:rsidP="00B86332">
          <w:pPr>
            <w:pStyle w:val="Obsah2"/>
            <w:spacing w:after="40"/>
            <w:rPr>
              <w:rFonts w:eastAsiaTheme="minorEastAsia" w:cstheme="minorBidi"/>
              <w:b w:val="0"/>
              <w:bCs w:val="0"/>
              <w:lang w:eastAsia="cs-CZ"/>
            </w:rPr>
          </w:pPr>
          <w:hyperlink w:anchor="_Toc75366892" w:history="1">
            <w:r w:rsidR="009267F8" w:rsidRPr="00116923">
              <w:rPr>
                <w:rStyle w:val="Hypertextovodkaz"/>
                <w:b w:val="0"/>
                <w:bCs w:val="0"/>
              </w:rPr>
              <w:t>4.5. Informace o outsourcingu</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_Toc75366892 \h </w:instrText>
            </w:r>
            <w:r w:rsidR="009267F8" w:rsidRPr="00116923">
              <w:rPr>
                <w:b w:val="0"/>
                <w:bCs w:val="0"/>
                <w:webHidden/>
              </w:rPr>
            </w:r>
            <w:r w:rsidR="009267F8" w:rsidRPr="00116923">
              <w:rPr>
                <w:b w:val="0"/>
                <w:bCs w:val="0"/>
                <w:webHidden/>
              </w:rPr>
              <w:fldChar w:fldCharType="separate"/>
            </w:r>
            <w:r w:rsidR="00733223">
              <w:rPr>
                <w:b w:val="0"/>
                <w:bCs w:val="0"/>
                <w:webHidden/>
              </w:rPr>
              <w:t>13</w:t>
            </w:r>
            <w:r w:rsidR="009267F8" w:rsidRPr="00116923">
              <w:rPr>
                <w:b w:val="0"/>
                <w:bCs w:val="0"/>
                <w:webHidden/>
              </w:rPr>
              <w:fldChar w:fldCharType="end"/>
            </w:r>
          </w:hyperlink>
        </w:p>
        <w:p w14:paraId="15056BF3" w14:textId="13CFB764" w:rsidR="009267F8" w:rsidRPr="00116923" w:rsidRDefault="00B330BA" w:rsidP="00B86332">
          <w:pPr>
            <w:pStyle w:val="Obsah2"/>
            <w:spacing w:after="40"/>
            <w:rPr>
              <w:rFonts w:eastAsiaTheme="minorEastAsia" w:cstheme="minorBidi"/>
              <w:b w:val="0"/>
              <w:bCs w:val="0"/>
              <w:lang w:eastAsia="cs-CZ"/>
            </w:rPr>
          </w:pPr>
          <w:hyperlink w:anchor="_Toc75366893" w:history="1">
            <w:r w:rsidR="009267F8" w:rsidRPr="00116923">
              <w:rPr>
                <w:rStyle w:val="Hypertextovodkaz"/>
                <w:b w:val="0"/>
                <w:bCs w:val="0"/>
              </w:rPr>
              <w:t>4.6. Požadavky na způsobilost a bezúhonnost</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_Toc75366893 \h </w:instrText>
            </w:r>
            <w:r w:rsidR="009267F8" w:rsidRPr="00116923">
              <w:rPr>
                <w:b w:val="0"/>
                <w:bCs w:val="0"/>
                <w:webHidden/>
              </w:rPr>
            </w:r>
            <w:r w:rsidR="009267F8" w:rsidRPr="00116923">
              <w:rPr>
                <w:b w:val="0"/>
                <w:bCs w:val="0"/>
                <w:webHidden/>
              </w:rPr>
              <w:fldChar w:fldCharType="separate"/>
            </w:r>
            <w:r w:rsidR="00733223">
              <w:rPr>
                <w:b w:val="0"/>
                <w:bCs w:val="0"/>
                <w:webHidden/>
              </w:rPr>
              <w:t>13</w:t>
            </w:r>
            <w:r w:rsidR="009267F8" w:rsidRPr="00116923">
              <w:rPr>
                <w:b w:val="0"/>
                <w:bCs w:val="0"/>
                <w:webHidden/>
              </w:rPr>
              <w:fldChar w:fldCharType="end"/>
            </w:r>
          </w:hyperlink>
        </w:p>
        <w:p w14:paraId="0C0B078C" w14:textId="01EF94B7" w:rsidR="009267F8" w:rsidRPr="00116923" w:rsidRDefault="00B330BA" w:rsidP="00B86332">
          <w:pPr>
            <w:pStyle w:val="Obsah1"/>
            <w:spacing w:before="0" w:after="40"/>
            <w:rPr>
              <w:rFonts w:eastAsiaTheme="minorEastAsia"/>
              <w:noProof/>
              <w:lang w:eastAsia="cs-CZ"/>
            </w:rPr>
          </w:pPr>
          <w:hyperlink w:anchor="_Toc75366894" w:history="1">
            <w:r w:rsidR="009267F8" w:rsidRPr="00116923">
              <w:rPr>
                <w:rStyle w:val="Hypertextovodkaz"/>
                <w:rFonts w:cstheme="minorHAnsi"/>
                <w:noProof/>
              </w:rPr>
              <w:t>5. RIZIKOVÝ PROFIL</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_Toc75366894 \h </w:instrText>
            </w:r>
            <w:r w:rsidR="009267F8" w:rsidRPr="00116923">
              <w:rPr>
                <w:noProof/>
                <w:webHidden/>
              </w:rPr>
            </w:r>
            <w:r w:rsidR="009267F8" w:rsidRPr="00116923">
              <w:rPr>
                <w:noProof/>
                <w:webHidden/>
              </w:rPr>
              <w:fldChar w:fldCharType="separate"/>
            </w:r>
            <w:r w:rsidR="00733223">
              <w:rPr>
                <w:noProof/>
                <w:webHidden/>
              </w:rPr>
              <w:t>14</w:t>
            </w:r>
            <w:r w:rsidR="009267F8" w:rsidRPr="00116923">
              <w:rPr>
                <w:noProof/>
                <w:webHidden/>
              </w:rPr>
              <w:fldChar w:fldCharType="end"/>
            </w:r>
          </w:hyperlink>
        </w:p>
        <w:p w14:paraId="1E2D372A" w14:textId="271A44F5" w:rsidR="009267F8" w:rsidRPr="00116923" w:rsidRDefault="00B330BA" w:rsidP="00B86332">
          <w:pPr>
            <w:pStyle w:val="Obsah2"/>
            <w:spacing w:after="40"/>
            <w:rPr>
              <w:rFonts w:eastAsiaTheme="minorEastAsia" w:cstheme="minorBidi"/>
              <w:b w:val="0"/>
              <w:bCs w:val="0"/>
              <w:lang w:eastAsia="cs-CZ"/>
            </w:rPr>
          </w:pPr>
          <w:hyperlink w:anchor="_Toc75366895" w:history="1">
            <w:r w:rsidR="009267F8" w:rsidRPr="00116923">
              <w:rPr>
                <w:rStyle w:val="Hypertextovodkaz"/>
                <w:b w:val="0"/>
                <w:bCs w:val="0"/>
              </w:rPr>
              <w:t>5.1. Rizikový profil</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_Toc75366895 \h </w:instrText>
            </w:r>
            <w:r w:rsidR="009267F8" w:rsidRPr="00116923">
              <w:rPr>
                <w:b w:val="0"/>
                <w:bCs w:val="0"/>
                <w:webHidden/>
              </w:rPr>
            </w:r>
            <w:r w:rsidR="009267F8" w:rsidRPr="00116923">
              <w:rPr>
                <w:b w:val="0"/>
                <w:bCs w:val="0"/>
                <w:webHidden/>
              </w:rPr>
              <w:fldChar w:fldCharType="separate"/>
            </w:r>
            <w:r w:rsidR="00733223">
              <w:rPr>
                <w:b w:val="0"/>
                <w:bCs w:val="0"/>
                <w:webHidden/>
              </w:rPr>
              <w:t>14</w:t>
            </w:r>
            <w:r w:rsidR="009267F8" w:rsidRPr="00116923">
              <w:rPr>
                <w:b w:val="0"/>
                <w:bCs w:val="0"/>
                <w:webHidden/>
              </w:rPr>
              <w:fldChar w:fldCharType="end"/>
            </w:r>
          </w:hyperlink>
        </w:p>
        <w:p w14:paraId="47AA0DAA" w14:textId="32EEE2D9" w:rsidR="009267F8" w:rsidRPr="00116923" w:rsidRDefault="00B330BA" w:rsidP="00B86332">
          <w:pPr>
            <w:pStyle w:val="Obsah1"/>
            <w:spacing w:before="0" w:after="40"/>
            <w:rPr>
              <w:rFonts w:eastAsiaTheme="minorEastAsia"/>
              <w:noProof/>
              <w:lang w:eastAsia="cs-CZ"/>
            </w:rPr>
          </w:pPr>
          <w:hyperlink w:anchor="_Toc75366896" w:history="1">
            <w:r w:rsidR="009267F8" w:rsidRPr="00116923">
              <w:rPr>
                <w:rStyle w:val="Hypertextovodkaz"/>
                <w:rFonts w:cstheme="minorHAnsi"/>
                <w:noProof/>
              </w:rPr>
              <w:t>6. OCEŇOVÁNÍ PRO ÚČELY SOLVENTNOSTI</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_Toc75366896 \h </w:instrText>
            </w:r>
            <w:r w:rsidR="009267F8" w:rsidRPr="00116923">
              <w:rPr>
                <w:noProof/>
                <w:webHidden/>
              </w:rPr>
            </w:r>
            <w:r w:rsidR="009267F8" w:rsidRPr="00116923">
              <w:rPr>
                <w:noProof/>
                <w:webHidden/>
              </w:rPr>
              <w:fldChar w:fldCharType="separate"/>
            </w:r>
            <w:r w:rsidR="00733223">
              <w:rPr>
                <w:noProof/>
                <w:webHidden/>
              </w:rPr>
              <w:t>14</w:t>
            </w:r>
            <w:r w:rsidR="009267F8" w:rsidRPr="00116923">
              <w:rPr>
                <w:noProof/>
                <w:webHidden/>
              </w:rPr>
              <w:fldChar w:fldCharType="end"/>
            </w:r>
          </w:hyperlink>
        </w:p>
        <w:p w14:paraId="61DB1091" w14:textId="740894CF" w:rsidR="009267F8" w:rsidRPr="00116923" w:rsidRDefault="00B330BA" w:rsidP="00B86332">
          <w:pPr>
            <w:pStyle w:val="Obsah2"/>
            <w:spacing w:after="40"/>
            <w:rPr>
              <w:rFonts w:eastAsiaTheme="minorEastAsia" w:cstheme="minorBidi"/>
              <w:b w:val="0"/>
              <w:bCs w:val="0"/>
              <w:lang w:eastAsia="cs-CZ"/>
            </w:rPr>
          </w:pPr>
          <w:hyperlink w:anchor="_Toc75366897" w:history="1">
            <w:r w:rsidR="009267F8" w:rsidRPr="00116923">
              <w:rPr>
                <w:rStyle w:val="Hypertextovodkaz"/>
                <w:b w:val="0"/>
                <w:bCs w:val="0"/>
              </w:rPr>
              <w:t>6.1. Aktiva</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_Toc75366897 \h </w:instrText>
            </w:r>
            <w:r w:rsidR="009267F8" w:rsidRPr="00116923">
              <w:rPr>
                <w:b w:val="0"/>
                <w:bCs w:val="0"/>
                <w:webHidden/>
              </w:rPr>
            </w:r>
            <w:r w:rsidR="009267F8" w:rsidRPr="00116923">
              <w:rPr>
                <w:b w:val="0"/>
                <w:bCs w:val="0"/>
                <w:webHidden/>
              </w:rPr>
              <w:fldChar w:fldCharType="separate"/>
            </w:r>
            <w:r w:rsidR="00733223">
              <w:rPr>
                <w:b w:val="0"/>
                <w:bCs w:val="0"/>
                <w:webHidden/>
              </w:rPr>
              <w:t>15</w:t>
            </w:r>
            <w:r w:rsidR="009267F8" w:rsidRPr="00116923">
              <w:rPr>
                <w:b w:val="0"/>
                <w:bCs w:val="0"/>
                <w:webHidden/>
              </w:rPr>
              <w:fldChar w:fldCharType="end"/>
            </w:r>
          </w:hyperlink>
        </w:p>
        <w:p w14:paraId="2C177467" w14:textId="125EFCFA" w:rsidR="009267F8" w:rsidRPr="00116923" w:rsidRDefault="00B330BA" w:rsidP="00B86332">
          <w:pPr>
            <w:pStyle w:val="Obsah2"/>
            <w:spacing w:after="40"/>
            <w:rPr>
              <w:rFonts w:eastAsiaTheme="minorEastAsia" w:cstheme="minorBidi"/>
              <w:b w:val="0"/>
              <w:bCs w:val="0"/>
              <w:lang w:eastAsia="cs-CZ"/>
            </w:rPr>
          </w:pPr>
          <w:hyperlink w:anchor="_Toc75366898" w:history="1">
            <w:r w:rsidR="009267F8" w:rsidRPr="00116923">
              <w:rPr>
                <w:rStyle w:val="Hypertextovodkaz"/>
                <w:b w:val="0"/>
                <w:bCs w:val="0"/>
              </w:rPr>
              <w:t>6.2. Technické rezervy a riziková přirážka</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_Toc75366898 \h </w:instrText>
            </w:r>
            <w:r w:rsidR="009267F8" w:rsidRPr="00116923">
              <w:rPr>
                <w:b w:val="0"/>
                <w:bCs w:val="0"/>
                <w:webHidden/>
              </w:rPr>
            </w:r>
            <w:r w:rsidR="009267F8" w:rsidRPr="00116923">
              <w:rPr>
                <w:b w:val="0"/>
                <w:bCs w:val="0"/>
                <w:webHidden/>
              </w:rPr>
              <w:fldChar w:fldCharType="separate"/>
            </w:r>
            <w:r w:rsidR="00733223">
              <w:rPr>
                <w:b w:val="0"/>
                <w:bCs w:val="0"/>
                <w:webHidden/>
              </w:rPr>
              <w:t>16</w:t>
            </w:r>
            <w:r w:rsidR="009267F8" w:rsidRPr="00116923">
              <w:rPr>
                <w:b w:val="0"/>
                <w:bCs w:val="0"/>
                <w:webHidden/>
              </w:rPr>
              <w:fldChar w:fldCharType="end"/>
            </w:r>
          </w:hyperlink>
        </w:p>
        <w:p w14:paraId="1AD95236" w14:textId="6B9EBEF2" w:rsidR="009267F8" w:rsidRPr="00116923" w:rsidRDefault="00B330BA" w:rsidP="00B86332">
          <w:pPr>
            <w:pStyle w:val="Obsah1"/>
            <w:spacing w:before="0" w:after="40"/>
            <w:rPr>
              <w:rFonts w:eastAsiaTheme="minorEastAsia"/>
              <w:noProof/>
              <w:lang w:eastAsia="cs-CZ"/>
            </w:rPr>
          </w:pPr>
          <w:hyperlink w:anchor="_Toc75366899" w:history="1">
            <w:r w:rsidR="009267F8" w:rsidRPr="00116923">
              <w:rPr>
                <w:rStyle w:val="Hypertextovodkaz"/>
                <w:rFonts w:cstheme="minorHAnsi"/>
                <w:noProof/>
              </w:rPr>
              <w:t>7. ŘÍZENÍ KAPITÁLU</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_Toc75366899 \h </w:instrText>
            </w:r>
            <w:r w:rsidR="009267F8" w:rsidRPr="00116923">
              <w:rPr>
                <w:noProof/>
                <w:webHidden/>
              </w:rPr>
            </w:r>
            <w:r w:rsidR="009267F8" w:rsidRPr="00116923">
              <w:rPr>
                <w:noProof/>
                <w:webHidden/>
              </w:rPr>
              <w:fldChar w:fldCharType="separate"/>
            </w:r>
            <w:r w:rsidR="00733223">
              <w:rPr>
                <w:noProof/>
                <w:webHidden/>
              </w:rPr>
              <w:t>17</w:t>
            </w:r>
            <w:r w:rsidR="009267F8" w:rsidRPr="00116923">
              <w:rPr>
                <w:noProof/>
                <w:webHidden/>
              </w:rPr>
              <w:fldChar w:fldCharType="end"/>
            </w:r>
          </w:hyperlink>
        </w:p>
        <w:p w14:paraId="1E339D56" w14:textId="53E99F29" w:rsidR="009267F8" w:rsidRPr="00116923" w:rsidRDefault="00B330BA" w:rsidP="00B86332">
          <w:pPr>
            <w:pStyle w:val="Obsah2"/>
            <w:spacing w:after="40"/>
            <w:rPr>
              <w:rFonts w:eastAsiaTheme="minorEastAsia" w:cstheme="minorBidi"/>
              <w:b w:val="0"/>
              <w:bCs w:val="0"/>
              <w:lang w:eastAsia="cs-CZ"/>
            </w:rPr>
          </w:pPr>
          <w:hyperlink w:anchor="_Toc75366900" w:history="1">
            <w:r w:rsidR="009267F8" w:rsidRPr="00116923">
              <w:rPr>
                <w:rStyle w:val="Hypertextovodkaz"/>
                <w:b w:val="0"/>
                <w:bCs w:val="0"/>
              </w:rPr>
              <w:t>7.1. Ukazatele kapitálové přiměřenosti</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_Toc75366900 \h </w:instrText>
            </w:r>
            <w:r w:rsidR="009267F8" w:rsidRPr="00116923">
              <w:rPr>
                <w:b w:val="0"/>
                <w:bCs w:val="0"/>
                <w:webHidden/>
              </w:rPr>
            </w:r>
            <w:r w:rsidR="009267F8" w:rsidRPr="00116923">
              <w:rPr>
                <w:b w:val="0"/>
                <w:bCs w:val="0"/>
                <w:webHidden/>
              </w:rPr>
              <w:fldChar w:fldCharType="separate"/>
            </w:r>
            <w:r w:rsidR="00733223">
              <w:rPr>
                <w:b w:val="0"/>
                <w:bCs w:val="0"/>
                <w:webHidden/>
              </w:rPr>
              <w:t>17</w:t>
            </w:r>
            <w:r w:rsidR="009267F8" w:rsidRPr="00116923">
              <w:rPr>
                <w:b w:val="0"/>
                <w:bCs w:val="0"/>
                <w:webHidden/>
              </w:rPr>
              <w:fldChar w:fldCharType="end"/>
            </w:r>
          </w:hyperlink>
        </w:p>
        <w:p w14:paraId="3D27BD2A" w14:textId="7F4CFED2" w:rsidR="009267F8" w:rsidRPr="00116923" w:rsidRDefault="00B330BA" w:rsidP="00B86332">
          <w:pPr>
            <w:pStyle w:val="Obsah2"/>
            <w:spacing w:after="40"/>
            <w:rPr>
              <w:rFonts w:eastAsiaTheme="minorEastAsia" w:cstheme="minorBidi"/>
              <w:b w:val="0"/>
              <w:bCs w:val="0"/>
              <w:lang w:eastAsia="cs-CZ"/>
            </w:rPr>
          </w:pPr>
          <w:hyperlink w:anchor="_Toc75366901" w:history="1">
            <w:r w:rsidR="009267F8" w:rsidRPr="00116923">
              <w:rPr>
                <w:rStyle w:val="Hypertextovodkaz"/>
                <w:b w:val="0"/>
                <w:bCs w:val="0"/>
              </w:rPr>
              <w:t>7.2. Struktura kapitálu</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_Toc75366901 \h </w:instrText>
            </w:r>
            <w:r w:rsidR="009267F8" w:rsidRPr="00116923">
              <w:rPr>
                <w:b w:val="0"/>
                <w:bCs w:val="0"/>
                <w:webHidden/>
              </w:rPr>
            </w:r>
            <w:r w:rsidR="009267F8" w:rsidRPr="00116923">
              <w:rPr>
                <w:b w:val="0"/>
                <w:bCs w:val="0"/>
                <w:webHidden/>
              </w:rPr>
              <w:fldChar w:fldCharType="separate"/>
            </w:r>
            <w:r w:rsidR="00733223">
              <w:rPr>
                <w:b w:val="0"/>
                <w:bCs w:val="0"/>
                <w:webHidden/>
              </w:rPr>
              <w:t>17</w:t>
            </w:r>
            <w:r w:rsidR="009267F8" w:rsidRPr="00116923">
              <w:rPr>
                <w:b w:val="0"/>
                <w:bCs w:val="0"/>
                <w:webHidden/>
              </w:rPr>
              <w:fldChar w:fldCharType="end"/>
            </w:r>
          </w:hyperlink>
        </w:p>
        <w:p w14:paraId="3890D4B1" w14:textId="5E163D35" w:rsidR="009267F8" w:rsidRPr="00116923" w:rsidRDefault="00B330BA" w:rsidP="00B86332">
          <w:pPr>
            <w:pStyle w:val="Obsah2"/>
            <w:spacing w:after="40"/>
            <w:rPr>
              <w:rFonts w:eastAsiaTheme="minorEastAsia" w:cstheme="minorBidi"/>
              <w:b w:val="0"/>
              <w:bCs w:val="0"/>
              <w:lang w:eastAsia="cs-CZ"/>
            </w:rPr>
          </w:pPr>
          <w:hyperlink w:anchor="_Toc75366902" w:history="1">
            <w:r w:rsidR="009267F8" w:rsidRPr="00116923">
              <w:rPr>
                <w:rStyle w:val="Hypertextovodkaz"/>
                <w:b w:val="0"/>
                <w:bCs w:val="0"/>
              </w:rPr>
              <w:t>7.3. Prospektivní informace o kapitálu</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_Toc75366902 \h </w:instrText>
            </w:r>
            <w:r w:rsidR="009267F8" w:rsidRPr="00116923">
              <w:rPr>
                <w:b w:val="0"/>
                <w:bCs w:val="0"/>
                <w:webHidden/>
              </w:rPr>
            </w:r>
            <w:r w:rsidR="009267F8" w:rsidRPr="00116923">
              <w:rPr>
                <w:b w:val="0"/>
                <w:bCs w:val="0"/>
                <w:webHidden/>
              </w:rPr>
              <w:fldChar w:fldCharType="separate"/>
            </w:r>
            <w:r w:rsidR="00733223">
              <w:rPr>
                <w:b w:val="0"/>
                <w:bCs w:val="0"/>
                <w:webHidden/>
              </w:rPr>
              <w:t>18</w:t>
            </w:r>
            <w:r w:rsidR="009267F8" w:rsidRPr="00116923">
              <w:rPr>
                <w:b w:val="0"/>
                <w:bCs w:val="0"/>
                <w:webHidden/>
              </w:rPr>
              <w:fldChar w:fldCharType="end"/>
            </w:r>
          </w:hyperlink>
        </w:p>
        <w:p w14:paraId="273C5B60" w14:textId="04BE6711" w:rsidR="009267F8" w:rsidRPr="00116923" w:rsidRDefault="00B330BA" w:rsidP="00B86332">
          <w:pPr>
            <w:pStyle w:val="Obsah2"/>
            <w:spacing w:after="40"/>
            <w:rPr>
              <w:rFonts w:eastAsiaTheme="minorEastAsia" w:cstheme="minorBidi"/>
              <w:b w:val="0"/>
              <w:bCs w:val="0"/>
              <w:lang w:eastAsia="cs-CZ"/>
            </w:rPr>
          </w:pPr>
          <w:hyperlink w:anchor="_Toc75366903" w:history="1">
            <w:r w:rsidR="009267F8" w:rsidRPr="00116923">
              <w:rPr>
                <w:rStyle w:val="Hypertextovodkaz"/>
                <w:b w:val="0"/>
                <w:bCs w:val="0"/>
              </w:rPr>
              <w:t>7.4. Výhled pro rok 2021 v souvislosti s pandemií koronaviru SARS-Cov-2</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_Toc75366903 \h </w:instrText>
            </w:r>
            <w:r w:rsidR="009267F8" w:rsidRPr="00116923">
              <w:rPr>
                <w:b w:val="0"/>
                <w:bCs w:val="0"/>
                <w:webHidden/>
              </w:rPr>
            </w:r>
            <w:r w:rsidR="009267F8" w:rsidRPr="00116923">
              <w:rPr>
                <w:b w:val="0"/>
                <w:bCs w:val="0"/>
                <w:webHidden/>
              </w:rPr>
              <w:fldChar w:fldCharType="separate"/>
            </w:r>
            <w:r w:rsidR="00733223">
              <w:rPr>
                <w:b w:val="0"/>
                <w:bCs w:val="0"/>
                <w:webHidden/>
              </w:rPr>
              <w:t>19</w:t>
            </w:r>
            <w:r w:rsidR="009267F8" w:rsidRPr="00116923">
              <w:rPr>
                <w:b w:val="0"/>
                <w:bCs w:val="0"/>
                <w:webHidden/>
              </w:rPr>
              <w:fldChar w:fldCharType="end"/>
            </w:r>
          </w:hyperlink>
        </w:p>
        <w:p w14:paraId="518A39E1" w14:textId="7C3320A9" w:rsidR="009267F8" w:rsidRPr="00116923" w:rsidRDefault="00B330BA" w:rsidP="00B86332">
          <w:pPr>
            <w:pStyle w:val="Obsah2"/>
            <w:spacing w:after="40"/>
            <w:rPr>
              <w:rFonts w:eastAsiaTheme="minorEastAsia" w:cstheme="minorBidi"/>
              <w:b w:val="0"/>
              <w:bCs w:val="0"/>
              <w:lang w:eastAsia="cs-CZ"/>
            </w:rPr>
          </w:pPr>
          <w:hyperlink w:anchor="_Toc75366904" w:history="1">
            <w:r w:rsidR="009267F8" w:rsidRPr="00116923">
              <w:rPr>
                <w:rStyle w:val="Hypertextovodkaz"/>
                <w:b w:val="0"/>
                <w:bCs w:val="0"/>
              </w:rPr>
              <w:t>7.5. Střednědobý výhled pro roky 2022 a 2023</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_Toc75366904 \h </w:instrText>
            </w:r>
            <w:r w:rsidR="009267F8" w:rsidRPr="00116923">
              <w:rPr>
                <w:b w:val="0"/>
                <w:bCs w:val="0"/>
                <w:webHidden/>
              </w:rPr>
            </w:r>
            <w:r w:rsidR="009267F8" w:rsidRPr="00116923">
              <w:rPr>
                <w:b w:val="0"/>
                <w:bCs w:val="0"/>
                <w:webHidden/>
              </w:rPr>
              <w:fldChar w:fldCharType="separate"/>
            </w:r>
            <w:r w:rsidR="00733223">
              <w:rPr>
                <w:b w:val="0"/>
                <w:bCs w:val="0"/>
                <w:webHidden/>
              </w:rPr>
              <w:t>19</w:t>
            </w:r>
            <w:r w:rsidR="009267F8" w:rsidRPr="00116923">
              <w:rPr>
                <w:b w:val="0"/>
                <w:bCs w:val="0"/>
                <w:webHidden/>
              </w:rPr>
              <w:fldChar w:fldCharType="end"/>
            </w:r>
          </w:hyperlink>
        </w:p>
        <w:p w14:paraId="3EDB5BEF" w14:textId="1B16CA2E" w:rsidR="009267F8" w:rsidRPr="00116923" w:rsidRDefault="00B330BA" w:rsidP="00B86332">
          <w:pPr>
            <w:pStyle w:val="Obsah1"/>
            <w:spacing w:before="0" w:after="40"/>
            <w:rPr>
              <w:rFonts w:eastAsiaTheme="minorEastAsia"/>
              <w:noProof/>
              <w:lang w:eastAsia="cs-CZ"/>
            </w:rPr>
          </w:pPr>
          <w:hyperlink w:anchor="_Toc75366905" w:history="1">
            <w:r w:rsidR="009267F8" w:rsidRPr="00116923">
              <w:rPr>
                <w:rStyle w:val="Hypertextovodkaz"/>
                <w:noProof/>
              </w:rPr>
              <w:t>PŘÍLOHY</w:t>
            </w:r>
            <w:r w:rsidR="009267F8" w:rsidRPr="00116923">
              <w:rPr>
                <w:noProof/>
                <w:webHidden/>
              </w:rPr>
              <w:tab/>
            </w:r>
            <w:r w:rsidR="009267F8" w:rsidRPr="00116923">
              <w:rPr>
                <w:noProof/>
                <w:webHidden/>
              </w:rPr>
              <w:fldChar w:fldCharType="begin"/>
            </w:r>
            <w:r w:rsidR="009267F8" w:rsidRPr="00116923">
              <w:rPr>
                <w:noProof/>
                <w:webHidden/>
              </w:rPr>
              <w:instrText xml:space="preserve"> PAGEREF _Toc75366905 \h </w:instrText>
            </w:r>
            <w:r w:rsidR="009267F8" w:rsidRPr="00116923">
              <w:rPr>
                <w:noProof/>
                <w:webHidden/>
              </w:rPr>
            </w:r>
            <w:r w:rsidR="009267F8" w:rsidRPr="00116923">
              <w:rPr>
                <w:noProof/>
                <w:webHidden/>
              </w:rPr>
              <w:fldChar w:fldCharType="separate"/>
            </w:r>
            <w:r w:rsidR="00733223">
              <w:rPr>
                <w:noProof/>
                <w:webHidden/>
              </w:rPr>
              <w:t>20</w:t>
            </w:r>
            <w:r w:rsidR="009267F8" w:rsidRPr="00116923">
              <w:rPr>
                <w:noProof/>
                <w:webHidden/>
              </w:rPr>
              <w:fldChar w:fldCharType="end"/>
            </w:r>
          </w:hyperlink>
        </w:p>
        <w:p w14:paraId="0062A895" w14:textId="56CAA217" w:rsidR="009267F8" w:rsidRPr="00116923" w:rsidRDefault="00B330BA" w:rsidP="00B86332">
          <w:pPr>
            <w:pStyle w:val="Obsah2"/>
            <w:spacing w:after="40"/>
            <w:rPr>
              <w:rFonts w:eastAsiaTheme="minorEastAsia" w:cstheme="minorBidi"/>
              <w:b w:val="0"/>
              <w:bCs w:val="0"/>
              <w:lang w:eastAsia="cs-CZ"/>
            </w:rPr>
          </w:pPr>
          <w:hyperlink w:anchor="_Toc75366906" w:history="1">
            <w:r w:rsidR="009267F8" w:rsidRPr="00116923">
              <w:rPr>
                <w:rStyle w:val="Hypertextovodkaz"/>
                <w:b w:val="0"/>
                <w:bCs w:val="0"/>
              </w:rPr>
              <w:t>S.02.01.02 Rozvaha</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_Toc75366906 \h </w:instrText>
            </w:r>
            <w:r w:rsidR="009267F8" w:rsidRPr="00116923">
              <w:rPr>
                <w:b w:val="0"/>
                <w:bCs w:val="0"/>
                <w:webHidden/>
              </w:rPr>
            </w:r>
            <w:r w:rsidR="009267F8" w:rsidRPr="00116923">
              <w:rPr>
                <w:b w:val="0"/>
                <w:bCs w:val="0"/>
                <w:webHidden/>
              </w:rPr>
              <w:fldChar w:fldCharType="separate"/>
            </w:r>
            <w:r w:rsidR="00733223">
              <w:rPr>
                <w:b w:val="0"/>
                <w:bCs w:val="0"/>
                <w:webHidden/>
              </w:rPr>
              <w:t>21</w:t>
            </w:r>
            <w:r w:rsidR="009267F8" w:rsidRPr="00116923">
              <w:rPr>
                <w:b w:val="0"/>
                <w:bCs w:val="0"/>
                <w:webHidden/>
              </w:rPr>
              <w:fldChar w:fldCharType="end"/>
            </w:r>
          </w:hyperlink>
        </w:p>
        <w:p w14:paraId="63EA1DEA" w14:textId="18A52AC1" w:rsidR="009267F8" w:rsidRPr="00116923" w:rsidRDefault="00B330BA" w:rsidP="00B86332">
          <w:pPr>
            <w:pStyle w:val="Obsah2"/>
            <w:spacing w:after="40"/>
            <w:rPr>
              <w:rFonts w:eastAsiaTheme="minorEastAsia" w:cstheme="minorBidi"/>
              <w:b w:val="0"/>
              <w:bCs w:val="0"/>
              <w:lang w:eastAsia="cs-CZ"/>
            </w:rPr>
          </w:pPr>
          <w:hyperlink w:anchor="_Toc75366907" w:history="1">
            <w:r w:rsidR="009267F8" w:rsidRPr="00116923">
              <w:rPr>
                <w:rStyle w:val="Hypertextovodkaz"/>
                <w:b w:val="0"/>
                <w:bCs w:val="0"/>
              </w:rPr>
              <w:t>S.05.01.01 Neživotní pojištění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_Toc75366907 \h </w:instrText>
            </w:r>
            <w:r w:rsidR="009267F8" w:rsidRPr="00116923">
              <w:rPr>
                <w:b w:val="0"/>
                <w:bCs w:val="0"/>
                <w:webHidden/>
              </w:rPr>
            </w:r>
            <w:r w:rsidR="009267F8" w:rsidRPr="00116923">
              <w:rPr>
                <w:b w:val="0"/>
                <w:bCs w:val="0"/>
                <w:webHidden/>
              </w:rPr>
              <w:fldChar w:fldCharType="separate"/>
            </w:r>
            <w:r w:rsidR="00733223">
              <w:rPr>
                <w:b w:val="0"/>
                <w:bCs w:val="0"/>
                <w:webHidden/>
              </w:rPr>
              <w:t>23</w:t>
            </w:r>
            <w:r w:rsidR="009267F8" w:rsidRPr="00116923">
              <w:rPr>
                <w:b w:val="0"/>
                <w:bCs w:val="0"/>
                <w:webHidden/>
              </w:rPr>
              <w:fldChar w:fldCharType="end"/>
            </w:r>
          </w:hyperlink>
        </w:p>
        <w:p w14:paraId="278A8648" w14:textId="51720B71" w:rsidR="009267F8" w:rsidRPr="00116923" w:rsidRDefault="00B330BA" w:rsidP="00B86332">
          <w:pPr>
            <w:pStyle w:val="Obsah2"/>
            <w:spacing w:after="40"/>
            <w:rPr>
              <w:rFonts w:eastAsiaTheme="minorEastAsia" w:cstheme="minorBidi"/>
              <w:b w:val="0"/>
              <w:bCs w:val="0"/>
              <w:lang w:eastAsia="cs-CZ"/>
            </w:rPr>
          </w:pPr>
          <w:hyperlink w:anchor="_Toc75366908" w:history="1">
            <w:r w:rsidR="009267F8" w:rsidRPr="00116923">
              <w:rPr>
                <w:rStyle w:val="Hypertextovodkaz"/>
                <w:b w:val="0"/>
                <w:bCs w:val="0"/>
              </w:rPr>
              <w:t>S.17.01.02 Technické rezervy týkající se neživotního pojištění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_Toc75366908 \h </w:instrText>
            </w:r>
            <w:r w:rsidR="009267F8" w:rsidRPr="00116923">
              <w:rPr>
                <w:b w:val="0"/>
                <w:bCs w:val="0"/>
                <w:webHidden/>
              </w:rPr>
            </w:r>
            <w:r w:rsidR="009267F8" w:rsidRPr="00116923">
              <w:rPr>
                <w:b w:val="0"/>
                <w:bCs w:val="0"/>
                <w:webHidden/>
              </w:rPr>
              <w:fldChar w:fldCharType="separate"/>
            </w:r>
            <w:r w:rsidR="00733223">
              <w:rPr>
                <w:b w:val="0"/>
                <w:bCs w:val="0"/>
                <w:webHidden/>
              </w:rPr>
              <w:t>24</w:t>
            </w:r>
            <w:r w:rsidR="009267F8" w:rsidRPr="00116923">
              <w:rPr>
                <w:b w:val="0"/>
                <w:bCs w:val="0"/>
                <w:webHidden/>
              </w:rPr>
              <w:fldChar w:fldCharType="end"/>
            </w:r>
          </w:hyperlink>
        </w:p>
        <w:p w14:paraId="084E4C14" w14:textId="363D99D9" w:rsidR="009267F8" w:rsidRPr="00116923" w:rsidRDefault="00B330BA" w:rsidP="00B86332">
          <w:pPr>
            <w:pStyle w:val="Obsah2"/>
            <w:spacing w:after="40"/>
            <w:rPr>
              <w:rFonts w:eastAsiaTheme="minorEastAsia" w:cstheme="minorBidi"/>
              <w:b w:val="0"/>
              <w:bCs w:val="0"/>
              <w:lang w:eastAsia="cs-CZ"/>
            </w:rPr>
          </w:pPr>
          <w:hyperlink w:anchor="_Toc75366909" w:history="1">
            <w:r w:rsidR="009267F8" w:rsidRPr="00116923">
              <w:rPr>
                <w:rStyle w:val="Hypertextovodkaz"/>
                <w:b w:val="0"/>
                <w:bCs w:val="0"/>
              </w:rPr>
              <w:t xml:space="preserve">S.19.01.01 Informace o </w:t>
            </w:r>
            <w:r w:rsidR="009267F8" w:rsidRPr="00116923">
              <w:rPr>
                <w:rStyle w:val="Hypertextovodkaz"/>
                <w:b w:val="0"/>
                <w:bCs w:val="0"/>
                <w:sz w:val="20"/>
                <w:szCs w:val="20"/>
              </w:rPr>
              <w:t>nárocích</w:t>
            </w:r>
            <w:r w:rsidR="009267F8" w:rsidRPr="00116923">
              <w:rPr>
                <w:rStyle w:val="Hypertextovodkaz"/>
                <w:b w:val="0"/>
                <w:bCs w:val="0"/>
              </w:rPr>
              <w:t xml:space="preserve"> na pojistné plnění z neživotního pojištění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_Toc75366909 \h </w:instrText>
            </w:r>
            <w:r w:rsidR="009267F8" w:rsidRPr="00116923">
              <w:rPr>
                <w:b w:val="0"/>
                <w:bCs w:val="0"/>
                <w:webHidden/>
              </w:rPr>
            </w:r>
            <w:r w:rsidR="009267F8" w:rsidRPr="00116923">
              <w:rPr>
                <w:b w:val="0"/>
                <w:bCs w:val="0"/>
                <w:webHidden/>
              </w:rPr>
              <w:fldChar w:fldCharType="separate"/>
            </w:r>
            <w:r w:rsidR="00733223">
              <w:rPr>
                <w:b w:val="0"/>
                <w:bCs w:val="0"/>
                <w:webHidden/>
              </w:rPr>
              <w:t>26</w:t>
            </w:r>
            <w:r w:rsidR="009267F8" w:rsidRPr="00116923">
              <w:rPr>
                <w:b w:val="0"/>
                <w:bCs w:val="0"/>
                <w:webHidden/>
              </w:rPr>
              <w:fldChar w:fldCharType="end"/>
            </w:r>
          </w:hyperlink>
        </w:p>
        <w:p w14:paraId="3EC95F87" w14:textId="2AD9D8A3" w:rsidR="009267F8" w:rsidRPr="00116923" w:rsidRDefault="00B330BA" w:rsidP="00B86332">
          <w:pPr>
            <w:pStyle w:val="Obsah2"/>
            <w:spacing w:after="40"/>
            <w:rPr>
              <w:rFonts w:eastAsiaTheme="minorEastAsia" w:cstheme="minorBidi"/>
              <w:b w:val="0"/>
              <w:bCs w:val="0"/>
              <w:lang w:eastAsia="cs-CZ"/>
            </w:rPr>
          </w:pPr>
          <w:hyperlink w:anchor="_Toc75366910" w:history="1">
            <w:r w:rsidR="009267F8" w:rsidRPr="00116923">
              <w:rPr>
                <w:rStyle w:val="Hypertextovodkaz"/>
                <w:b w:val="0"/>
                <w:bCs w:val="0"/>
              </w:rPr>
              <w:t>S.23.01.01 Kapitál</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_Toc75366910 \h </w:instrText>
            </w:r>
            <w:r w:rsidR="009267F8" w:rsidRPr="00116923">
              <w:rPr>
                <w:b w:val="0"/>
                <w:bCs w:val="0"/>
                <w:webHidden/>
              </w:rPr>
            </w:r>
            <w:r w:rsidR="009267F8" w:rsidRPr="00116923">
              <w:rPr>
                <w:b w:val="0"/>
                <w:bCs w:val="0"/>
                <w:webHidden/>
              </w:rPr>
              <w:fldChar w:fldCharType="separate"/>
            </w:r>
            <w:r w:rsidR="00733223">
              <w:rPr>
                <w:b w:val="0"/>
                <w:bCs w:val="0"/>
                <w:webHidden/>
              </w:rPr>
              <w:t>27</w:t>
            </w:r>
            <w:r w:rsidR="009267F8" w:rsidRPr="00116923">
              <w:rPr>
                <w:b w:val="0"/>
                <w:bCs w:val="0"/>
                <w:webHidden/>
              </w:rPr>
              <w:fldChar w:fldCharType="end"/>
            </w:r>
          </w:hyperlink>
        </w:p>
        <w:p w14:paraId="4E6283BA" w14:textId="4FAEEE4A" w:rsidR="009267F8" w:rsidRPr="00116923" w:rsidRDefault="00B330BA" w:rsidP="00B86332">
          <w:pPr>
            <w:pStyle w:val="Obsah2"/>
            <w:spacing w:after="40"/>
            <w:rPr>
              <w:rFonts w:eastAsiaTheme="minorEastAsia" w:cstheme="minorBidi"/>
              <w:b w:val="0"/>
              <w:bCs w:val="0"/>
              <w:lang w:eastAsia="cs-CZ"/>
            </w:rPr>
          </w:pPr>
          <w:hyperlink w:anchor="_Toc75366911" w:history="1">
            <w:r w:rsidR="009267F8" w:rsidRPr="00116923">
              <w:rPr>
                <w:rStyle w:val="Hypertextovodkaz"/>
                <w:b w:val="0"/>
                <w:bCs w:val="0"/>
              </w:rPr>
              <w:t>S.25.01.01 Základní solventnostní kapitálový požadavek</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_Toc75366911 \h </w:instrText>
            </w:r>
            <w:r w:rsidR="009267F8" w:rsidRPr="00116923">
              <w:rPr>
                <w:b w:val="0"/>
                <w:bCs w:val="0"/>
                <w:webHidden/>
              </w:rPr>
            </w:r>
            <w:r w:rsidR="009267F8" w:rsidRPr="00116923">
              <w:rPr>
                <w:b w:val="0"/>
                <w:bCs w:val="0"/>
                <w:webHidden/>
              </w:rPr>
              <w:fldChar w:fldCharType="separate"/>
            </w:r>
            <w:r w:rsidR="00733223">
              <w:rPr>
                <w:b w:val="0"/>
                <w:bCs w:val="0"/>
                <w:webHidden/>
              </w:rPr>
              <w:t>28</w:t>
            </w:r>
            <w:r w:rsidR="009267F8" w:rsidRPr="00116923">
              <w:rPr>
                <w:b w:val="0"/>
                <w:bCs w:val="0"/>
                <w:webHidden/>
              </w:rPr>
              <w:fldChar w:fldCharType="end"/>
            </w:r>
          </w:hyperlink>
        </w:p>
        <w:p w14:paraId="34644D90" w14:textId="0939F7B1" w:rsidR="009267F8" w:rsidRPr="00116923" w:rsidRDefault="00B330BA" w:rsidP="00B86332">
          <w:pPr>
            <w:pStyle w:val="Obsah2"/>
            <w:spacing w:after="40"/>
            <w:rPr>
              <w:rFonts w:eastAsiaTheme="minorEastAsia" w:cstheme="minorBidi"/>
              <w:b w:val="0"/>
              <w:bCs w:val="0"/>
              <w:lang w:eastAsia="cs-CZ"/>
            </w:rPr>
          </w:pPr>
          <w:hyperlink w:anchor="_Toc75366912" w:history="1">
            <w:r w:rsidR="009267F8" w:rsidRPr="00116923">
              <w:rPr>
                <w:rStyle w:val="Hypertextovodkaz"/>
                <w:b w:val="0"/>
                <w:bCs w:val="0"/>
              </w:rPr>
              <w:t>S.28.01.01 Minimální kapitálový požadavek (MCR) – pouze životní (L) nebo pouze neživotní (NL) pojištění nebo zajištění</w:t>
            </w:r>
            <w:r w:rsidR="009267F8" w:rsidRPr="00116923">
              <w:rPr>
                <w:b w:val="0"/>
                <w:bCs w:val="0"/>
                <w:webHidden/>
              </w:rPr>
              <w:tab/>
            </w:r>
            <w:r w:rsidR="009267F8" w:rsidRPr="00116923">
              <w:rPr>
                <w:b w:val="0"/>
                <w:bCs w:val="0"/>
                <w:webHidden/>
              </w:rPr>
              <w:fldChar w:fldCharType="begin"/>
            </w:r>
            <w:r w:rsidR="009267F8" w:rsidRPr="00116923">
              <w:rPr>
                <w:b w:val="0"/>
                <w:bCs w:val="0"/>
                <w:webHidden/>
              </w:rPr>
              <w:instrText xml:space="preserve"> PAGEREF _Toc75366912 \h </w:instrText>
            </w:r>
            <w:r w:rsidR="009267F8" w:rsidRPr="00116923">
              <w:rPr>
                <w:b w:val="0"/>
                <w:bCs w:val="0"/>
                <w:webHidden/>
              </w:rPr>
            </w:r>
            <w:r w:rsidR="009267F8" w:rsidRPr="00116923">
              <w:rPr>
                <w:b w:val="0"/>
                <w:bCs w:val="0"/>
                <w:webHidden/>
              </w:rPr>
              <w:fldChar w:fldCharType="separate"/>
            </w:r>
            <w:r w:rsidR="00733223">
              <w:rPr>
                <w:b w:val="0"/>
                <w:bCs w:val="0"/>
                <w:webHidden/>
              </w:rPr>
              <w:t>29</w:t>
            </w:r>
            <w:r w:rsidR="009267F8" w:rsidRPr="00116923">
              <w:rPr>
                <w:b w:val="0"/>
                <w:bCs w:val="0"/>
                <w:webHidden/>
              </w:rPr>
              <w:fldChar w:fldCharType="end"/>
            </w:r>
          </w:hyperlink>
        </w:p>
        <w:p w14:paraId="08FF2C21" w14:textId="591DC428" w:rsidR="002819B5" w:rsidRPr="00B86332" w:rsidRDefault="00AE2B74" w:rsidP="00B86332">
          <w:pPr>
            <w:spacing w:after="0" w:line="280" w:lineRule="atLeast"/>
            <w:rPr>
              <w:rFonts w:cstheme="minorHAnsi"/>
              <w:color w:val="000000" w:themeColor="text1"/>
            </w:rPr>
          </w:pPr>
          <w:r w:rsidRPr="00116923">
            <w:rPr>
              <w:rFonts w:cstheme="minorHAnsi"/>
              <w:color w:val="000000" w:themeColor="text1"/>
            </w:rPr>
            <w:fldChar w:fldCharType="end"/>
          </w:r>
        </w:p>
      </w:sdtContent>
    </w:sdt>
    <w:p w14:paraId="34256D9F" w14:textId="77777777" w:rsidR="00DE7722" w:rsidRPr="003542CB" w:rsidRDefault="00DE7722" w:rsidP="00E3584D">
      <w:pPr>
        <w:spacing w:line="280" w:lineRule="atLeast"/>
        <w:rPr>
          <w:rFonts w:cstheme="minorHAnsi"/>
        </w:rPr>
      </w:pPr>
    </w:p>
    <w:p w14:paraId="1A53B7EE" w14:textId="77777777" w:rsidR="00E3584D" w:rsidRDefault="00E3584D">
      <w:pPr>
        <w:rPr>
          <w:rFonts w:eastAsiaTheme="majorEastAsia" w:cstheme="minorHAnsi"/>
          <w:b/>
          <w:color w:val="000000" w:themeColor="text1"/>
          <w:sz w:val="32"/>
          <w:szCs w:val="32"/>
        </w:rPr>
      </w:pPr>
      <w:bookmarkStart w:id="4" w:name="_Toc473201389"/>
      <w:r>
        <w:rPr>
          <w:rFonts w:cstheme="minorHAnsi"/>
          <w:b/>
          <w:color w:val="000000" w:themeColor="text1"/>
        </w:rPr>
        <w:br w:type="page"/>
      </w:r>
    </w:p>
    <w:p w14:paraId="56BB8553" w14:textId="256477C6" w:rsidR="00967FBE" w:rsidRPr="003542CB" w:rsidRDefault="002819B5" w:rsidP="00E3584D">
      <w:pPr>
        <w:pStyle w:val="Nadpis1"/>
        <w:spacing w:line="280" w:lineRule="atLeast"/>
        <w:jc w:val="center"/>
        <w:rPr>
          <w:rFonts w:asciiTheme="minorHAnsi" w:hAnsiTheme="minorHAnsi" w:cstheme="minorHAnsi"/>
          <w:b/>
          <w:color w:val="000000" w:themeColor="text1"/>
        </w:rPr>
      </w:pPr>
      <w:bookmarkStart w:id="5" w:name="_Toc75366878"/>
      <w:r w:rsidRPr="003542CB">
        <w:rPr>
          <w:rFonts w:asciiTheme="minorHAnsi" w:hAnsiTheme="minorHAnsi" w:cstheme="minorHAnsi"/>
          <w:b/>
          <w:color w:val="000000" w:themeColor="text1"/>
        </w:rPr>
        <w:lastRenderedPageBreak/>
        <w:t xml:space="preserve">2. </w:t>
      </w:r>
      <w:bookmarkEnd w:id="3"/>
      <w:bookmarkEnd w:id="4"/>
      <w:r w:rsidR="00D94BAA" w:rsidRPr="003542CB">
        <w:rPr>
          <w:rFonts w:asciiTheme="minorHAnsi" w:hAnsiTheme="minorHAnsi" w:cstheme="minorHAnsi"/>
          <w:b/>
          <w:color w:val="000000" w:themeColor="text1"/>
        </w:rPr>
        <w:t>ÚVOD</w:t>
      </w:r>
      <w:r w:rsidR="00EE234D" w:rsidRPr="003542CB">
        <w:rPr>
          <w:rFonts w:asciiTheme="minorHAnsi" w:hAnsiTheme="minorHAnsi" w:cstheme="minorHAnsi"/>
          <w:b/>
          <w:color w:val="000000" w:themeColor="text1"/>
        </w:rPr>
        <w:t xml:space="preserve"> A SHRNUTÍ</w:t>
      </w:r>
      <w:bookmarkEnd w:id="5"/>
    </w:p>
    <w:p w14:paraId="72F6A182" w14:textId="77777777" w:rsidR="00967FBE" w:rsidRPr="003542CB" w:rsidRDefault="00967FBE" w:rsidP="00E3584D">
      <w:pPr>
        <w:spacing w:line="280" w:lineRule="atLeast"/>
        <w:rPr>
          <w:rFonts w:cstheme="minorHAnsi"/>
          <w:color w:val="000000" w:themeColor="text1"/>
        </w:rPr>
      </w:pPr>
    </w:p>
    <w:p w14:paraId="7A9EE8B1" w14:textId="5AB16AA3" w:rsidR="000E661E" w:rsidRPr="003542CB" w:rsidRDefault="00D46BF4"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Zpráva o solventnosti a finanční situaci</w:t>
      </w:r>
      <w:r w:rsidR="001800A0" w:rsidRPr="003542CB">
        <w:rPr>
          <w:rFonts w:cstheme="minorHAnsi"/>
          <w:color w:val="000000" w:themeColor="text1"/>
          <w:sz w:val="24"/>
          <w:szCs w:val="24"/>
        </w:rPr>
        <w:t xml:space="preserve"> je zpracována v souladu s nařízením Komise v přenesené pravomoci (EU) 2015/35 ze dne 10. října 2014, kterým se doplňuje směrnice Evropského parlamentu a Rady 2009/138/ES o přístupu k pojišťovací a zajišťovací činnosti a jejím výkonu a rovněž s Obecnými pokyny k oznamován</w:t>
      </w:r>
      <w:r w:rsidR="001D4AD8" w:rsidRPr="003542CB">
        <w:rPr>
          <w:rFonts w:cstheme="minorHAnsi"/>
          <w:color w:val="000000" w:themeColor="text1"/>
          <w:sz w:val="24"/>
          <w:szCs w:val="24"/>
        </w:rPr>
        <w:t xml:space="preserve">í a zveřejňování informací </w:t>
      </w:r>
      <w:r w:rsidR="001800A0" w:rsidRPr="003542CB">
        <w:rPr>
          <w:rFonts w:cstheme="minorHAnsi"/>
          <w:color w:val="000000" w:themeColor="text1"/>
          <w:sz w:val="24"/>
          <w:szCs w:val="24"/>
        </w:rPr>
        <w:t xml:space="preserve">EIOPA-BoS-15/109. </w:t>
      </w:r>
      <w:r w:rsidRPr="003542CB">
        <w:rPr>
          <w:rFonts w:cstheme="minorHAnsi"/>
          <w:color w:val="000000" w:themeColor="text1"/>
          <w:sz w:val="24"/>
          <w:szCs w:val="24"/>
        </w:rPr>
        <w:t xml:space="preserve">Tato zpráva je zveřejněna na webových stránkách Pojišťovny na adrese: </w:t>
      </w:r>
      <w:hyperlink r:id="rId10" w:history="1">
        <w:r w:rsidRPr="003542CB">
          <w:rPr>
            <w:rFonts w:cstheme="minorHAnsi"/>
            <w:color w:val="000000" w:themeColor="text1"/>
            <w:sz w:val="24"/>
            <w:szCs w:val="24"/>
          </w:rPr>
          <w:t>http://www.vitalitas.cz/soubory-ke-stazeni/</w:t>
        </w:r>
      </w:hyperlink>
      <w:r w:rsidRPr="003542CB">
        <w:rPr>
          <w:rFonts w:cstheme="minorHAnsi"/>
          <w:color w:val="000000" w:themeColor="text1"/>
          <w:sz w:val="24"/>
          <w:szCs w:val="24"/>
        </w:rPr>
        <w:t xml:space="preserve"> .</w:t>
      </w:r>
    </w:p>
    <w:p w14:paraId="3D51C0DE" w14:textId="5F1315BC" w:rsidR="002D65E7" w:rsidRPr="003542CB" w:rsidRDefault="002D65E7"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Návrh této zprávy byl předložen členům představenstva i dozorčí rady Pojišťovny</w:t>
      </w:r>
      <w:r w:rsidR="005A25C4" w:rsidRPr="003542CB">
        <w:rPr>
          <w:rFonts w:cstheme="minorHAnsi"/>
          <w:color w:val="000000" w:themeColor="text1"/>
          <w:sz w:val="24"/>
          <w:szCs w:val="24"/>
        </w:rPr>
        <w:t xml:space="preserve"> </w:t>
      </w:r>
      <w:r w:rsidR="00535AE2" w:rsidRPr="003542CB">
        <w:rPr>
          <w:rFonts w:cstheme="minorHAnsi"/>
          <w:color w:val="000000" w:themeColor="text1"/>
          <w:sz w:val="24"/>
          <w:szCs w:val="24"/>
        </w:rPr>
        <w:t xml:space="preserve">k projednání </w:t>
      </w:r>
      <w:r w:rsidR="005A25C4" w:rsidRPr="003542CB">
        <w:rPr>
          <w:rFonts w:cstheme="minorHAnsi"/>
          <w:color w:val="000000" w:themeColor="text1"/>
          <w:sz w:val="24"/>
          <w:szCs w:val="24"/>
        </w:rPr>
        <w:t xml:space="preserve">v rámci jejich řádného </w:t>
      </w:r>
      <w:r w:rsidR="00535AE2" w:rsidRPr="003542CB">
        <w:rPr>
          <w:rFonts w:cstheme="minorHAnsi"/>
          <w:color w:val="000000" w:themeColor="text1"/>
          <w:sz w:val="24"/>
          <w:szCs w:val="24"/>
        </w:rPr>
        <w:t xml:space="preserve">zasedání </w:t>
      </w:r>
      <w:r w:rsidR="005A25C4" w:rsidRPr="003542CB">
        <w:rPr>
          <w:rFonts w:cstheme="minorHAnsi"/>
          <w:color w:val="000000" w:themeColor="text1"/>
          <w:sz w:val="24"/>
          <w:szCs w:val="24"/>
        </w:rPr>
        <w:t xml:space="preserve">dne </w:t>
      </w:r>
      <w:r w:rsidR="00D46BF4" w:rsidRPr="003542CB">
        <w:rPr>
          <w:rFonts w:cstheme="minorHAnsi"/>
          <w:color w:val="000000" w:themeColor="text1"/>
          <w:sz w:val="24"/>
          <w:szCs w:val="24"/>
        </w:rPr>
        <w:t>3</w:t>
      </w:r>
      <w:r w:rsidR="00431C7D" w:rsidRPr="003542CB">
        <w:rPr>
          <w:rFonts w:cstheme="minorHAnsi"/>
          <w:color w:val="000000" w:themeColor="text1"/>
          <w:sz w:val="24"/>
          <w:szCs w:val="24"/>
        </w:rPr>
        <w:t>0</w:t>
      </w:r>
      <w:r w:rsidR="005A25C4" w:rsidRPr="003542CB">
        <w:rPr>
          <w:rFonts w:cstheme="minorHAnsi"/>
          <w:color w:val="000000" w:themeColor="text1"/>
          <w:sz w:val="24"/>
          <w:szCs w:val="24"/>
        </w:rPr>
        <w:t>. 3. 20</w:t>
      </w:r>
      <w:r w:rsidR="00D46BF4" w:rsidRPr="003542CB">
        <w:rPr>
          <w:rFonts w:cstheme="minorHAnsi"/>
          <w:color w:val="000000" w:themeColor="text1"/>
          <w:sz w:val="24"/>
          <w:szCs w:val="24"/>
        </w:rPr>
        <w:t>2</w:t>
      </w:r>
      <w:r w:rsidR="00431C7D" w:rsidRPr="003542CB">
        <w:rPr>
          <w:rFonts w:cstheme="minorHAnsi"/>
          <w:color w:val="000000" w:themeColor="text1"/>
          <w:sz w:val="24"/>
          <w:szCs w:val="24"/>
        </w:rPr>
        <w:t>1</w:t>
      </w:r>
      <w:r w:rsidRPr="003542CB">
        <w:rPr>
          <w:rFonts w:cstheme="minorHAnsi"/>
          <w:color w:val="000000" w:themeColor="text1"/>
          <w:sz w:val="24"/>
          <w:szCs w:val="24"/>
        </w:rPr>
        <w:t>.</w:t>
      </w:r>
    </w:p>
    <w:p w14:paraId="0460D427" w14:textId="77777777" w:rsidR="004F54B0" w:rsidRPr="003542CB" w:rsidRDefault="004F54B0" w:rsidP="00E3584D">
      <w:pPr>
        <w:spacing w:line="280" w:lineRule="atLeast"/>
        <w:jc w:val="both"/>
        <w:rPr>
          <w:rFonts w:cstheme="minorHAnsi"/>
          <w:color w:val="000000" w:themeColor="text1"/>
          <w:sz w:val="24"/>
          <w:szCs w:val="24"/>
        </w:rPr>
      </w:pPr>
    </w:p>
    <w:p w14:paraId="11B784EF" w14:textId="77777777" w:rsidR="00EE234D" w:rsidRPr="003542CB" w:rsidRDefault="00EE234D" w:rsidP="00E3584D">
      <w:pPr>
        <w:pStyle w:val="Nadpis2"/>
        <w:spacing w:line="280" w:lineRule="atLeast"/>
        <w:rPr>
          <w:rFonts w:asciiTheme="minorHAnsi" w:hAnsiTheme="minorHAnsi" w:cstheme="minorHAnsi"/>
          <w:b/>
          <w:color w:val="000000" w:themeColor="text1"/>
        </w:rPr>
      </w:pPr>
      <w:bookmarkStart w:id="6" w:name="_Toc75366879"/>
      <w:r w:rsidRPr="003542CB">
        <w:rPr>
          <w:rFonts w:asciiTheme="minorHAnsi" w:hAnsiTheme="minorHAnsi" w:cstheme="minorHAnsi"/>
          <w:b/>
          <w:color w:val="000000" w:themeColor="text1"/>
        </w:rPr>
        <w:t>2.1. Shrnutí</w:t>
      </w:r>
      <w:bookmarkEnd w:id="6"/>
    </w:p>
    <w:p w14:paraId="4873711B" w14:textId="77777777" w:rsidR="005725F9" w:rsidRPr="003542CB" w:rsidRDefault="005725F9" w:rsidP="00E3584D">
      <w:pPr>
        <w:spacing w:line="280" w:lineRule="atLeast"/>
        <w:jc w:val="both"/>
        <w:rPr>
          <w:rFonts w:cstheme="minorHAnsi"/>
          <w:color w:val="000000" w:themeColor="text1"/>
          <w:sz w:val="24"/>
          <w:szCs w:val="24"/>
        </w:rPr>
      </w:pPr>
    </w:p>
    <w:p w14:paraId="020676CA" w14:textId="227069FF" w:rsidR="00502376" w:rsidRPr="003542CB" w:rsidRDefault="00502376"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Činnost Pojišťovny je zásadně ovlivněna pandemií </w:t>
      </w:r>
      <w:proofErr w:type="spellStart"/>
      <w:r w:rsidRPr="003542CB">
        <w:rPr>
          <w:rFonts w:cstheme="minorHAnsi"/>
          <w:color w:val="000000" w:themeColor="text1"/>
          <w:sz w:val="24"/>
          <w:szCs w:val="24"/>
        </w:rPr>
        <w:t>koronaviru</w:t>
      </w:r>
      <w:proofErr w:type="spellEnd"/>
      <w:r w:rsidRPr="003542CB">
        <w:rPr>
          <w:rFonts w:cstheme="minorHAnsi"/>
          <w:color w:val="000000" w:themeColor="text1"/>
          <w:sz w:val="24"/>
          <w:szCs w:val="24"/>
        </w:rPr>
        <w:t xml:space="preserve">, kdy cestovní </w:t>
      </w:r>
      <w:proofErr w:type="gramStart"/>
      <w:r w:rsidRPr="003542CB">
        <w:rPr>
          <w:rFonts w:cstheme="minorHAnsi"/>
          <w:color w:val="000000" w:themeColor="text1"/>
          <w:sz w:val="24"/>
          <w:szCs w:val="24"/>
        </w:rPr>
        <w:t>ruch</w:t>
      </w:r>
      <w:proofErr w:type="gramEnd"/>
      <w:r w:rsidRPr="003542CB">
        <w:rPr>
          <w:rFonts w:cstheme="minorHAnsi"/>
          <w:color w:val="000000" w:themeColor="text1"/>
          <w:sz w:val="24"/>
          <w:szCs w:val="24"/>
        </w:rPr>
        <w:t xml:space="preserve"> a tedy i cestovní pojištění, které je stěžejním produktem Pojišťovny, patří mezi nejvíce zasažené oblasti ekonomiky. Pojišťovna se snaží negativní dopady minimalizovat růstem úrazového pojištění, využíváním státní podpory programu Antivirus a důsledným řízením nákladů. Díky silné kapitálové pozici Pojišťovny není ohrožena její business </w:t>
      </w:r>
      <w:proofErr w:type="spellStart"/>
      <w:r w:rsidRPr="003542CB">
        <w:rPr>
          <w:rFonts w:cstheme="minorHAnsi"/>
          <w:color w:val="000000" w:themeColor="text1"/>
          <w:sz w:val="24"/>
          <w:szCs w:val="24"/>
        </w:rPr>
        <w:t>continuity</w:t>
      </w:r>
      <w:proofErr w:type="spellEnd"/>
      <w:r w:rsidRPr="003542CB">
        <w:rPr>
          <w:rFonts w:cstheme="minorHAnsi"/>
          <w:color w:val="000000" w:themeColor="text1"/>
          <w:sz w:val="24"/>
          <w:szCs w:val="24"/>
        </w:rPr>
        <w:t xml:space="preserve"> ani závazky vůči klientům nebo obchodním partnerům.</w:t>
      </w:r>
    </w:p>
    <w:p w14:paraId="4D07E58B" w14:textId="4D9F2E82" w:rsidR="00502376" w:rsidRPr="003542CB" w:rsidRDefault="00502376"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Vývoj je pečlivě sledován na bázi měsíčních výsledků upisování a tyto výsledky jsou předkládány jak do jednání orgánů Pojišťovny, tak jejímu jedinému akcionáři – OZP.</w:t>
      </w:r>
    </w:p>
    <w:p w14:paraId="42FDEE40" w14:textId="6EC80704" w:rsidR="00502376" w:rsidRPr="003542CB" w:rsidRDefault="00F56D62" w:rsidP="00E3584D">
      <w:pPr>
        <w:spacing w:line="280" w:lineRule="atLeast"/>
        <w:jc w:val="both"/>
        <w:rPr>
          <w:rFonts w:cstheme="minorHAnsi"/>
          <w:color w:val="000000" w:themeColor="text1"/>
          <w:sz w:val="24"/>
          <w:szCs w:val="24"/>
        </w:rPr>
      </w:pPr>
      <w:bookmarkStart w:id="7" w:name="_Hlk35862706"/>
      <w:r w:rsidRPr="003542CB">
        <w:rPr>
          <w:rFonts w:cstheme="minorHAnsi"/>
          <w:color w:val="000000" w:themeColor="text1"/>
          <w:sz w:val="24"/>
          <w:szCs w:val="24"/>
        </w:rPr>
        <w:t>V průběhu roku 2020 proběhly úspěšně zkoušky odborné způsobilosti sjednatelů pojištění dle požadavků definovaných zákonem č. 170/2018 Sb., o distribuci pojištění a zajištění</w:t>
      </w:r>
      <w:bookmarkEnd w:id="7"/>
      <w:r w:rsidRPr="003542CB">
        <w:rPr>
          <w:rFonts w:cstheme="minorHAnsi"/>
          <w:color w:val="000000" w:themeColor="text1"/>
          <w:sz w:val="24"/>
          <w:szCs w:val="24"/>
        </w:rPr>
        <w:t>, kterým se podařilo tyto zkoušky splnit ve 100 % případů.</w:t>
      </w:r>
    </w:p>
    <w:p w14:paraId="22A9D52F" w14:textId="0AC223D6" w:rsidR="00502376" w:rsidRPr="003542CB" w:rsidRDefault="00502376"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Pro Pojišťovnu je i nadále signifikantní averze vůči rizikům a její činnost je koncipována tak, aby všechna rizika, kterým je nebo může být vystavena, byla minimalizována. Této koncepci odpovídá nastavení obchodní i investiční strategie. </w:t>
      </w:r>
    </w:p>
    <w:p w14:paraId="3C30F401" w14:textId="54E57420" w:rsidR="003C48C7" w:rsidRPr="003542CB" w:rsidRDefault="00502376" w:rsidP="00E3584D">
      <w:pPr>
        <w:spacing w:line="280" w:lineRule="atLeast"/>
        <w:jc w:val="both"/>
        <w:rPr>
          <w:rFonts w:cstheme="minorHAnsi"/>
          <w:color w:val="2E74B5" w:themeColor="accent1" w:themeShade="BF"/>
          <w:sz w:val="24"/>
          <w:szCs w:val="24"/>
        </w:rPr>
      </w:pPr>
      <w:r w:rsidRPr="003542CB">
        <w:rPr>
          <w:rFonts w:cstheme="minorHAnsi"/>
          <w:color w:val="000000" w:themeColor="text1"/>
          <w:sz w:val="24"/>
          <w:szCs w:val="24"/>
        </w:rPr>
        <w:t>Ve střednědobém horizontu je očekáváno postupné oživení cestovního ruchu, které bude pro Pojišťovnu zásadní pro návrat k ziskovosti srovnatelné s obdobími před pandemií.</w:t>
      </w:r>
      <w:r w:rsidR="00872566" w:rsidRPr="003542CB">
        <w:rPr>
          <w:rFonts w:cstheme="minorHAnsi"/>
          <w:color w:val="000000" w:themeColor="text1"/>
          <w:sz w:val="24"/>
          <w:szCs w:val="24"/>
        </w:rPr>
        <w:tab/>
      </w:r>
    </w:p>
    <w:p w14:paraId="2ACBC0A7" w14:textId="77777777" w:rsidR="00E3584D" w:rsidRDefault="00E3584D">
      <w:pPr>
        <w:rPr>
          <w:rFonts w:eastAsiaTheme="majorEastAsia" w:cstheme="minorHAnsi"/>
          <w:b/>
          <w:color w:val="000000" w:themeColor="text1"/>
          <w:sz w:val="32"/>
          <w:szCs w:val="32"/>
        </w:rPr>
      </w:pPr>
      <w:bookmarkStart w:id="8" w:name="_Toc473200649"/>
      <w:bookmarkStart w:id="9" w:name="_Toc473201390"/>
      <w:r>
        <w:rPr>
          <w:rFonts w:cstheme="minorHAnsi"/>
          <w:b/>
          <w:color w:val="000000" w:themeColor="text1"/>
        </w:rPr>
        <w:br w:type="page"/>
      </w:r>
    </w:p>
    <w:p w14:paraId="3D0D9BD0" w14:textId="65AA92CB" w:rsidR="005725F9" w:rsidRDefault="002819B5" w:rsidP="00E3584D">
      <w:pPr>
        <w:pStyle w:val="Nadpis1"/>
        <w:spacing w:line="280" w:lineRule="atLeast"/>
        <w:jc w:val="center"/>
        <w:rPr>
          <w:rFonts w:asciiTheme="minorHAnsi" w:hAnsiTheme="minorHAnsi" w:cstheme="minorHAnsi"/>
          <w:b/>
          <w:color w:val="000000" w:themeColor="text1"/>
        </w:rPr>
      </w:pPr>
      <w:bookmarkStart w:id="10" w:name="_Toc75366880"/>
      <w:r w:rsidRPr="003542CB">
        <w:rPr>
          <w:rFonts w:asciiTheme="minorHAnsi" w:hAnsiTheme="minorHAnsi" w:cstheme="minorHAnsi"/>
          <w:b/>
          <w:color w:val="000000" w:themeColor="text1"/>
        </w:rPr>
        <w:lastRenderedPageBreak/>
        <w:t xml:space="preserve">3. </w:t>
      </w:r>
      <w:r w:rsidR="005725F9" w:rsidRPr="003542CB">
        <w:rPr>
          <w:rFonts w:asciiTheme="minorHAnsi" w:hAnsiTheme="minorHAnsi" w:cstheme="minorHAnsi"/>
          <w:b/>
          <w:color w:val="000000" w:themeColor="text1"/>
        </w:rPr>
        <w:t>ČINNOST A VÝSLEDKY</w:t>
      </w:r>
      <w:bookmarkEnd w:id="8"/>
      <w:bookmarkEnd w:id="9"/>
      <w:bookmarkEnd w:id="10"/>
    </w:p>
    <w:p w14:paraId="5BCE7011" w14:textId="77777777" w:rsidR="00E3584D" w:rsidRPr="00E3584D" w:rsidRDefault="00E3584D" w:rsidP="00E3584D"/>
    <w:p w14:paraId="4E1F3F0C" w14:textId="77777777" w:rsidR="005725F9" w:rsidRPr="003542CB" w:rsidRDefault="002819B5" w:rsidP="00E3584D">
      <w:pPr>
        <w:pStyle w:val="Nadpis2"/>
        <w:spacing w:line="280" w:lineRule="atLeast"/>
        <w:rPr>
          <w:rFonts w:asciiTheme="minorHAnsi" w:hAnsiTheme="minorHAnsi" w:cstheme="minorHAnsi"/>
          <w:b/>
          <w:color w:val="000000" w:themeColor="text1"/>
        </w:rPr>
      </w:pPr>
      <w:bookmarkStart w:id="11" w:name="_Toc473201391"/>
      <w:bookmarkStart w:id="12" w:name="_Toc75366881"/>
      <w:r w:rsidRPr="003542CB">
        <w:rPr>
          <w:rFonts w:asciiTheme="minorHAnsi" w:hAnsiTheme="minorHAnsi" w:cstheme="minorHAnsi"/>
          <w:b/>
          <w:color w:val="000000" w:themeColor="text1"/>
        </w:rPr>
        <w:t xml:space="preserve">3.1. </w:t>
      </w:r>
      <w:bookmarkEnd w:id="11"/>
      <w:r w:rsidR="00C23724" w:rsidRPr="003542CB">
        <w:rPr>
          <w:rFonts w:asciiTheme="minorHAnsi" w:hAnsiTheme="minorHAnsi" w:cstheme="minorHAnsi"/>
          <w:b/>
          <w:color w:val="000000" w:themeColor="text1"/>
        </w:rPr>
        <w:t>Identifikace pojišťovny</w:t>
      </w:r>
      <w:bookmarkEnd w:id="12"/>
    </w:p>
    <w:p w14:paraId="1FC289F3" w14:textId="77777777" w:rsidR="00667CE3" w:rsidRPr="003542CB" w:rsidRDefault="00E83B8E" w:rsidP="00E3584D">
      <w:pPr>
        <w:spacing w:line="280" w:lineRule="atLeast"/>
        <w:rPr>
          <w:rFonts w:cstheme="minorHAnsi"/>
          <w:b/>
          <w:i/>
          <w:color w:val="000000" w:themeColor="text1"/>
          <w:sz w:val="24"/>
          <w:szCs w:val="24"/>
        </w:rPr>
      </w:pPr>
      <w:r w:rsidRPr="003542CB">
        <w:rPr>
          <w:rFonts w:cstheme="minorHAnsi"/>
          <w:b/>
          <w:i/>
          <w:color w:val="000000" w:themeColor="text1"/>
          <w:sz w:val="24"/>
          <w:szCs w:val="24"/>
        </w:rPr>
        <w:t>Sídlo společnosti:</w:t>
      </w:r>
      <w:r w:rsidRPr="003542CB">
        <w:rPr>
          <w:rFonts w:cstheme="minorHAnsi"/>
          <w:b/>
          <w:i/>
          <w:color w:val="000000" w:themeColor="text1"/>
          <w:sz w:val="24"/>
          <w:szCs w:val="24"/>
        </w:rPr>
        <w:tab/>
      </w:r>
      <w:r w:rsidR="00814EA4" w:rsidRPr="003542CB">
        <w:rPr>
          <w:rFonts w:cstheme="minorHAnsi"/>
          <w:b/>
          <w:i/>
          <w:color w:val="000000" w:themeColor="text1"/>
          <w:sz w:val="24"/>
          <w:szCs w:val="24"/>
        </w:rPr>
        <w:tab/>
      </w:r>
      <w:r w:rsidR="00814EA4" w:rsidRPr="003542CB">
        <w:rPr>
          <w:rFonts w:cstheme="minorHAnsi"/>
          <w:b/>
          <w:i/>
          <w:color w:val="000000" w:themeColor="text1"/>
          <w:sz w:val="24"/>
          <w:szCs w:val="24"/>
        </w:rPr>
        <w:tab/>
      </w:r>
      <w:r w:rsidR="00814EA4" w:rsidRPr="003542CB">
        <w:rPr>
          <w:rFonts w:cstheme="minorHAnsi"/>
          <w:b/>
          <w:i/>
          <w:color w:val="000000" w:themeColor="text1"/>
          <w:sz w:val="24"/>
          <w:szCs w:val="24"/>
        </w:rPr>
        <w:tab/>
      </w:r>
      <w:r w:rsidR="00667CE3" w:rsidRPr="003542CB">
        <w:rPr>
          <w:rFonts w:cstheme="minorHAnsi"/>
          <w:b/>
          <w:i/>
          <w:color w:val="000000" w:themeColor="text1"/>
          <w:sz w:val="24"/>
          <w:szCs w:val="24"/>
        </w:rPr>
        <w:t>Korespondenční adresa</w:t>
      </w:r>
      <w:r w:rsidR="00814EA4" w:rsidRPr="003542CB">
        <w:rPr>
          <w:rFonts w:cstheme="minorHAnsi"/>
          <w:b/>
          <w:i/>
          <w:color w:val="000000" w:themeColor="text1"/>
          <w:sz w:val="24"/>
          <w:szCs w:val="24"/>
        </w:rPr>
        <w:t xml:space="preserve"> (pracoviště Praha)</w:t>
      </w:r>
      <w:r w:rsidR="00667CE3" w:rsidRPr="003542CB">
        <w:rPr>
          <w:rFonts w:cstheme="minorHAnsi"/>
          <w:b/>
          <w:i/>
          <w:color w:val="000000" w:themeColor="text1"/>
          <w:sz w:val="24"/>
          <w:szCs w:val="24"/>
        </w:rPr>
        <w:tab/>
      </w:r>
    </w:p>
    <w:p w14:paraId="0532F9E9" w14:textId="77777777" w:rsidR="00667CE3" w:rsidRPr="003542CB" w:rsidRDefault="00E83B8E" w:rsidP="00E3584D">
      <w:pPr>
        <w:spacing w:after="60" w:line="280" w:lineRule="atLeast"/>
        <w:ind w:firstLine="708"/>
        <w:jc w:val="both"/>
        <w:rPr>
          <w:rFonts w:cstheme="minorHAnsi"/>
          <w:color w:val="000000" w:themeColor="text1"/>
          <w:sz w:val="24"/>
          <w:szCs w:val="24"/>
        </w:rPr>
      </w:pPr>
      <w:r w:rsidRPr="003542CB">
        <w:rPr>
          <w:rFonts w:cstheme="minorHAnsi"/>
          <w:color w:val="000000" w:themeColor="text1"/>
          <w:sz w:val="24"/>
          <w:szCs w:val="24"/>
        </w:rPr>
        <w:t>Vitalitas pojišťovna, a.s.</w:t>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667CE3" w:rsidRPr="003542CB">
        <w:rPr>
          <w:rFonts w:cstheme="minorHAnsi"/>
          <w:color w:val="000000" w:themeColor="text1"/>
          <w:sz w:val="24"/>
          <w:szCs w:val="24"/>
        </w:rPr>
        <w:t>Vitalitas pojišťovna, a.s.</w:t>
      </w:r>
    </w:p>
    <w:p w14:paraId="0FAA0FD4" w14:textId="77777777" w:rsidR="00C23724" w:rsidRPr="003542CB" w:rsidRDefault="00E83B8E" w:rsidP="00E3584D">
      <w:pPr>
        <w:spacing w:after="60" w:line="280" w:lineRule="atLeast"/>
        <w:ind w:firstLine="708"/>
        <w:jc w:val="both"/>
        <w:rPr>
          <w:rFonts w:cstheme="minorHAnsi"/>
          <w:color w:val="000000" w:themeColor="text1"/>
          <w:sz w:val="24"/>
          <w:szCs w:val="24"/>
        </w:rPr>
      </w:pPr>
      <w:r w:rsidRPr="003542CB">
        <w:rPr>
          <w:rFonts w:cstheme="minorHAnsi"/>
          <w:color w:val="000000" w:themeColor="text1"/>
          <w:sz w:val="24"/>
          <w:szCs w:val="24"/>
        </w:rPr>
        <w:t>Tusarova 1152/36</w:t>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667CE3" w:rsidRPr="003542CB">
        <w:rPr>
          <w:rFonts w:cstheme="minorHAnsi"/>
          <w:color w:val="000000" w:themeColor="text1"/>
          <w:sz w:val="24"/>
          <w:szCs w:val="24"/>
        </w:rPr>
        <w:t>Zelený pruh 95/97</w:t>
      </w:r>
    </w:p>
    <w:p w14:paraId="0A2DE3A1" w14:textId="77777777" w:rsidR="00E83B8E" w:rsidRPr="003542CB" w:rsidRDefault="00E83B8E"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 xml:space="preserve">Praha 7 – Holešovice </w:t>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667CE3" w:rsidRPr="003542CB">
        <w:rPr>
          <w:rFonts w:cstheme="minorHAnsi"/>
          <w:color w:val="000000" w:themeColor="text1"/>
          <w:sz w:val="24"/>
          <w:szCs w:val="24"/>
        </w:rPr>
        <w:t>Praha 4 – Braník</w:t>
      </w:r>
    </w:p>
    <w:p w14:paraId="1D824007" w14:textId="77777777" w:rsidR="00E83B8E" w:rsidRPr="003542CB" w:rsidRDefault="00E83B8E"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170 00</w:t>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814EA4" w:rsidRPr="003542CB">
        <w:rPr>
          <w:rFonts w:cstheme="minorHAnsi"/>
          <w:color w:val="000000" w:themeColor="text1"/>
          <w:sz w:val="24"/>
          <w:szCs w:val="24"/>
        </w:rPr>
        <w:tab/>
      </w:r>
      <w:r w:rsidR="00667CE3" w:rsidRPr="003542CB">
        <w:rPr>
          <w:rFonts w:cstheme="minorHAnsi"/>
          <w:color w:val="000000" w:themeColor="text1"/>
          <w:sz w:val="24"/>
          <w:szCs w:val="24"/>
        </w:rPr>
        <w:t>140 00</w:t>
      </w:r>
    </w:p>
    <w:p w14:paraId="28DF0A49" w14:textId="77777777" w:rsidR="00187FE8" w:rsidRPr="003542CB" w:rsidRDefault="00187FE8"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IČ</w:t>
      </w:r>
      <w:r w:rsidR="005432C1" w:rsidRPr="003542CB">
        <w:rPr>
          <w:rFonts w:cstheme="minorHAnsi"/>
          <w:color w:val="000000" w:themeColor="text1"/>
          <w:sz w:val="24"/>
          <w:szCs w:val="24"/>
        </w:rPr>
        <w:t>O</w:t>
      </w:r>
      <w:r w:rsidRPr="003542CB">
        <w:rPr>
          <w:rFonts w:cstheme="minorHAnsi"/>
          <w:color w:val="000000" w:themeColor="text1"/>
          <w:sz w:val="24"/>
          <w:szCs w:val="24"/>
        </w:rPr>
        <w:t>: 257 10 966</w:t>
      </w:r>
    </w:p>
    <w:p w14:paraId="0F9A5FC6" w14:textId="77777777" w:rsidR="007442D2" w:rsidRPr="003542CB" w:rsidRDefault="007442D2"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www.vitalitas.cz</w:t>
      </w:r>
    </w:p>
    <w:p w14:paraId="3058ECD2" w14:textId="77777777" w:rsidR="00E83B8E" w:rsidRPr="003542CB" w:rsidRDefault="00E83B8E"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ab/>
      </w:r>
    </w:p>
    <w:p w14:paraId="5E820F7A" w14:textId="77777777" w:rsidR="00104A02" w:rsidRPr="003542CB" w:rsidRDefault="00E146F1" w:rsidP="00E3584D">
      <w:pPr>
        <w:spacing w:line="280" w:lineRule="atLeast"/>
        <w:jc w:val="both"/>
        <w:rPr>
          <w:rFonts w:cstheme="minorHAnsi"/>
          <w:b/>
          <w:i/>
          <w:color w:val="000000" w:themeColor="text1"/>
          <w:sz w:val="24"/>
          <w:szCs w:val="24"/>
        </w:rPr>
      </w:pPr>
      <w:r w:rsidRPr="003542CB">
        <w:rPr>
          <w:rFonts w:cstheme="minorHAnsi"/>
          <w:b/>
          <w:i/>
          <w:color w:val="000000" w:themeColor="text1"/>
          <w:sz w:val="24"/>
          <w:szCs w:val="24"/>
        </w:rPr>
        <w:t>Orgán dohledu:</w:t>
      </w:r>
      <w:r w:rsidRPr="003542CB">
        <w:rPr>
          <w:rFonts w:cstheme="minorHAnsi"/>
          <w:b/>
          <w:i/>
          <w:color w:val="000000" w:themeColor="text1"/>
          <w:sz w:val="24"/>
          <w:szCs w:val="24"/>
        </w:rPr>
        <w:tab/>
      </w:r>
    </w:p>
    <w:p w14:paraId="3E989755" w14:textId="77777777" w:rsidR="00E146F1" w:rsidRPr="003542CB" w:rsidRDefault="00E146F1" w:rsidP="00E3584D">
      <w:pPr>
        <w:spacing w:after="60" w:line="280" w:lineRule="atLeast"/>
        <w:ind w:firstLine="708"/>
        <w:jc w:val="both"/>
        <w:rPr>
          <w:rFonts w:cstheme="minorHAnsi"/>
          <w:color w:val="000000" w:themeColor="text1"/>
          <w:sz w:val="24"/>
          <w:szCs w:val="24"/>
        </w:rPr>
      </w:pPr>
      <w:r w:rsidRPr="003542CB">
        <w:rPr>
          <w:rFonts w:cstheme="minorHAnsi"/>
          <w:color w:val="000000" w:themeColor="text1"/>
          <w:sz w:val="24"/>
          <w:szCs w:val="24"/>
        </w:rPr>
        <w:t>Česká národní banka</w:t>
      </w:r>
    </w:p>
    <w:p w14:paraId="7EF273D0" w14:textId="77777777" w:rsidR="00E146F1" w:rsidRPr="003542CB" w:rsidRDefault="00E146F1"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Na Příkopě 28</w:t>
      </w:r>
    </w:p>
    <w:p w14:paraId="3651EDE5" w14:textId="77777777" w:rsidR="00E146F1" w:rsidRPr="003542CB" w:rsidRDefault="00E146F1"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Praha 1 – Nové Město</w:t>
      </w:r>
    </w:p>
    <w:p w14:paraId="0020436F" w14:textId="77777777" w:rsidR="00E146F1" w:rsidRPr="003542CB" w:rsidRDefault="00E146F1"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110 00</w:t>
      </w:r>
    </w:p>
    <w:p w14:paraId="70C7B99C" w14:textId="77777777" w:rsidR="007442D2" w:rsidRPr="003542CB" w:rsidRDefault="007442D2"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r>
      <w:r w:rsidR="00104A02" w:rsidRPr="003542CB">
        <w:rPr>
          <w:rFonts w:cstheme="minorHAnsi"/>
          <w:color w:val="000000" w:themeColor="text1"/>
          <w:sz w:val="24"/>
          <w:szCs w:val="24"/>
        </w:rPr>
        <w:t>w</w:t>
      </w:r>
      <w:r w:rsidRPr="003542CB">
        <w:rPr>
          <w:rFonts w:cstheme="minorHAnsi"/>
          <w:color w:val="000000" w:themeColor="text1"/>
          <w:sz w:val="24"/>
          <w:szCs w:val="24"/>
        </w:rPr>
        <w:t>ww.cnb.cz</w:t>
      </w:r>
    </w:p>
    <w:p w14:paraId="39289008" w14:textId="77777777" w:rsidR="00667CE3" w:rsidRPr="003542CB" w:rsidRDefault="00667CE3"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ab/>
      </w:r>
      <w:r w:rsidRPr="003542CB">
        <w:rPr>
          <w:rFonts w:cstheme="minorHAnsi"/>
          <w:i/>
          <w:color w:val="000000" w:themeColor="text1"/>
          <w:sz w:val="24"/>
          <w:szCs w:val="24"/>
        </w:rPr>
        <w:t>kontaktní osoba:</w:t>
      </w:r>
      <w:r w:rsidRPr="003542CB">
        <w:rPr>
          <w:rFonts w:cstheme="minorHAnsi"/>
          <w:color w:val="000000" w:themeColor="text1"/>
          <w:sz w:val="24"/>
          <w:szCs w:val="24"/>
        </w:rPr>
        <w:t xml:space="preserve"> </w:t>
      </w:r>
      <w:r w:rsidRPr="003542CB">
        <w:rPr>
          <w:rFonts w:cstheme="minorHAnsi"/>
          <w:color w:val="000000" w:themeColor="text1"/>
          <w:sz w:val="24"/>
          <w:szCs w:val="24"/>
        </w:rPr>
        <w:tab/>
        <w:t xml:space="preserve">Ing. Kateřina </w:t>
      </w:r>
      <w:proofErr w:type="spellStart"/>
      <w:r w:rsidRPr="003542CB">
        <w:rPr>
          <w:rFonts w:cstheme="minorHAnsi"/>
          <w:color w:val="000000" w:themeColor="text1"/>
          <w:sz w:val="24"/>
          <w:szCs w:val="24"/>
        </w:rPr>
        <w:t>Nejtková</w:t>
      </w:r>
      <w:proofErr w:type="spellEnd"/>
      <w:r w:rsidRPr="003542CB">
        <w:rPr>
          <w:rFonts w:cstheme="minorHAnsi"/>
          <w:color w:val="000000" w:themeColor="text1"/>
          <w:sz w:val="24"/>
          <w:szCs w:val="24"/>
        </w:rPr>
        <w:t xml:space="preserve"> </w:t>
      </w:r>
    </w:p>
    <w:p w14:paraId="642A5C98" w14:textId="78D76D80" w:rsidR="00104A02" w:rsidRPr="003542CB" w:rsidRDefault="00612A74" w:rsidP="00E3584D">
      <w:pPr>
        <w:spacing w:line="280" w:lineRule="atLeast"/>
        <w:jc w:val="both"/>
        <w:rPr>
          <w:rFonts w:cstheme="minorHAnsi"/>
          <w:i/>
          <w:color w:val="000000" w:themeColor="text1"/>
          <w:sz w:val="24"/>
          <w:szCs w:val="24"/>
        </w:rPr>
      </w:pPr>
      <w:r w:rsidRPr="003542CB">
        <w:rPr>
          <w:rFonts w:cstheme="minorHAnsi"/>
          <w:b/>
          <w:i/>
          <w:color w:val="000000" w:themeColor="text1"/>
          <w:sz w:val="24"/>
          <w:szCs w:val="24"/>
        </w:rPr>
        <w:t>Statutární</w:t>
      </w:r>
      <w:r w:rsidR="006951EF" w:rsidRPr="003542CB">
        <w:rPr>
          <w:rFonts w:cstheme="minorHAnsi"/>
          <w:b/>
          <w:i/>
          <w:color w:val="000000" w:themeColor="text1"/>
          <w:sz w:val="24"/>
          <w:szCs w:val="24"/>
        </w:rPr>
        <w:t xml:space="preserve"> auditor</w:t>
      </w:r>
      <w:r w:rsidR="006951EF" w:rsidRPr="003542CB">
        <w:rPr>
          <w:rFonts w:cstheme="minorHAnsi"/>
          <w:i/>
          <w:color w:val="000000" w:themeColor="text1"/>
          <w:sz w:val="24"/>
          <w:szCs w:val="24"/>
        </w:rPr>
        <w:t xml:space="preserve"> (povinný audit účetní závěrky</w:t>
      </w:r>
      <w:r w:rsidRPr="003542CB">
        <w:rPr>
          <w:rFonts w:cstheme="minorHAnsi"/>
          <w:i/>
          <w:color w:val="000000" w:themeColor="text1"/>
          <w:sz w:val="24"/>
          <w:szCs w:val="24"/>
        </w:rPr>
        <w:t xml:space="preserve"> za rok 20</w:t>
      </w:r>
      <w:r w:rsidR="00111446" w:rsidRPr="003542CB">
        <w:rPr>
          <w:rFonts w:cstheme="minorHAnsi"/>
          <w:i/>
          <w:color w:val="000000" w:themeColor="text1"/>
          <w:sz w:val="24"/>
          <w:szCs w:val="24"/>
        </w:rPr>
        <w:t>20</w:t>
      </w:r>
      <w:r w:rsidR="006951EF" w:rsidRPr="003542CB">
        <w:rPr>
          <w:rFonts w:cstheme="minorHAnsi"/>
          <w:i/>
          <w:color w:val="000000" w:themeColor="text1"/>
          <w:sz w:val="24"/>
          <w:szCs w:val="24"/>
        </w:rPr>
        <w:t xml:space="preserve">): </w:t>
      </w:r>
      <w:r w:rsidR="00561972" w:rsidRPr="003542CB">
        <w:rPr>
          <w:rFonts w:cstheme="minorHAnsi"/>
          <w:i/>
          <w:color w:val="000000" w:themeColor="text1"/>
          <w:sz w:val="24"/>
          <w:szCs w:val="24"/>
        </w:rPr>
        <w:tab/>
      </w:r>
    </w:p>
    <w:p w14:paraId="482F1D51" w14:textId="77777777" w:rsidR="006951EF" w:rsidRPr="003542CB" w:rsidRDefault="00C97C7D" w:rsidP="00E3584D">
      <w:pPr>
        <w:spacing w:after="0" w:line="280" w:lineRule="atLeast"/>
        <w:ind w:firstLine="708"/>
        <w:jc w:val="both"/>
        <w:rPr>
          <w:rFonts w:cstheme="minorHAnsi"/>
          <w:color w:val="000000" w:themeColor="text1"/>
          <w:sz w:val="24"/>
          <w:szCs w:val="24"/>
        </w:rPr>
      </w:pPr>
      <w:r w:rsidRPr="003542CB">
        <w:rPr>
          <w:rFonts w:cstheme="minorHAnsi"/>
          <w:color w:val="000000" w:themeColor="text1"/>
          <w:sz w:val="24"/>
          <w:szCs w:val="24"/>
        </w:rPr>
        <w:t xml:space="preserve">MG </w:t>
      </w:r>
      <w:proofErr w:type="spellStart"/>
      <w:r w:rsidRPr="003542CB">
        <w:rPr>
          <w:rFonts w:cstheme="minorHAnsi"/>
          <w:color w:val="000000" w:themeColor="text1"/>
          <w:sz w:val="24"/>
          <w:szCs w:val="24"/>
        </w:rPr>
        <w:t>Credit</w:t>
      </w:r>
      <w:proofErr w:type="spellEnd"/>
      <w:r w:rsidR="00561972" w:rsidRPr="003542CB">
        <w:rPr>
          <w:rFonts w:cstheme="minorHAnsi"/>
          <w:color w:val="000000" w:themeColor="text1"/>
          <w:sz w:val="24"/>
          <w:szCs w:val="24"/>
        </w:rPr>
        <w:t xml:space="preserve"> s.r.o.</w:t>
      </w:r>
    </w:p>
    <w:p w14:paraId="52848E0E" w14:textId="77777777" w:rsidR="00561972" w:rsidRPr="003542CB" w:rsidRDefault="00561972" w:rsidP="00E3584D">
      <w:pPr>
        <w:spacing w:after="0" w:line="280" w:lineRule="atLeast"/>
        <w:jc w:val="both"/>
        <w:rPr>
          <w:rFonts w:cstheme="minorHAnsi"/>
          <w:color w:val="000000" w:themeColor="text1"/>
          <w:sz w:val="24"/>
          <w:szCs w:val="24"/>
        </w:rPr>
      </w:pPr>
      <w:r w:rsidRPr="003542CB">
        <w:rPr>
          <w:rFonts w:cstheme="minorHAnsi"/>
          <w:color w:val="000000" w:themeColor="text1"/>
          <w:sz w:val="24"/>
          <w:szCs w:val="24"/>
        </w:rPr>
        <w:tab/>
      </w:r>
      <w:r w:rsidR="00C97C7D" w:rsidRPr="003542CB">
        <w:rPr>
          <w:rFonts w:cstheme="minorHAnsi"/>
          <w:color w:val="000000" w:themeColor="text1"/>
          <w:sz w:val="24"/>
          <w:szCs w:val="24"/>
        </w:rPr>
        <w:t>Růžová 195</w:t>
      </w:r>
    </w:p>
    <w:p w14:paraId="424AA2ED" w14:textId="77777777" w:rsidR="00561972" w:rsidRPr="003542CB" w:rsidRDefault="00561972" w:rsidP="00E3584D">
      <w:pPr>
        <w:spacing w:after="0" w:line="280" w:lineRule="atLeast"/>
        <w:jc w:val="both"/>
        <w:rPr>
          <w:rFonts w:cstheme="minorHAnsi"/>
          <w:color w:val="000000" w:themeColor="text1"/>
          <w:sz w:val="24"/>
          <w:szCs w:val="24"/>
        </w:rPr>
      </w:pPr>
      <w:r w:rsidRPr="003542CB">
        <w:rPr>
          <w:rFonts w:cstheme="minorHAnsi"/>
          <w:color w:val="000000" w:themeColor="text1"/>
          <w:sz w:val="24"/>
          <w:szCs w:val="24"/>
        </w:rPr>
        <w:tab/>
      </w:r>
      <w:r w:rsidR="00C97C7D" w:rsidRPr="003542CB">
        <w:rPr>
          <w:rFonts w:cstheme="minorHAnsi"/>
          <w:color w:val="000000" w:themeColor="text1"/>
          <w:sz w:val="24"/>
          <w:szCs w:val="24"/>
        </w:rPr>
        <w:t>Zlín 4 - Louky</w:t>
      </w:r>
      <w:r w:rsidRPr="003542CB">
        <w:rPr>
          <w:rFonts w:cstheme="minorHAnsi"/>
          <w:color w:val="000000" w:themeColor="text1"/>
          <w:sz w:val="24"/>
          <w:szCs w:val="24"/>
        </w:rPr>
        <w:t xml:space="preserve"> </w:t>
      </w:r>
    </w:p>
    <w:p w14:paraId="445930E5" w14:textId="77777777" w:rsidR="00561972" w:rsidRPr="003542CB" w:rsidRDefault="00561972" w:rsidP="00E3584D">
      <w:pPr>
        <w:spacing w:after="0" w:line="280" w:lineRule="atLeast"/>
        <w:jc w:val="both"/>
        <w:rPr>
          <w:rFonts w:cstheme="minorHAnsi"/>
          <w:color w:val="000000" w:themeColor="text1"/>
          <w:sz w:val="24"/>
          <w:szCs w:val="24"/>
        </w:rPr>
      </w:pPr>
      <w:r w:rsidRPr="003542CB">
        <w:rPr>
          <w:rFonts w:cstheme="minorHAnsi"/>
          <w:color w:val="000000" w:themeColor="text1"/>
          <w:sz w:val="24"/>
          <w:szCs w:val="24"/>
        </w:rPr>
        <w:tab/>
      </w:r>
      <w:r w:rsidR="00C97C7D" w:rsidRPr="003542CB">
        <w:rPr>
          <w:rFonts w:cstheme="minorHAnsi"/>
          <w:color w:val="000000" w:themeColor="text1"/>
          <w:sz w:val="24"/>
          <w:szCs w:val="24"/>
        </w:rPr>
        <w:t xml:space="preserve">PSČ </w:t>
      </w:r>
      <w:r w:rsidR="00104A02" w:rsidRPr="003542CB">
        <w:rPr>
          <w:rFonts w:cstheme="minorHAnsi"/>
          <w:color w:val="000000" w:themeColor="text1"/>
          <w:sz w:val="24"/>
          <w:szCs w:val="24"/>
        </w:rPr>
        <w:t>1</w:t>
      </w:r>
      <w:r w:rsidRPr="003542CB">
        <w:rPr>
          <w:rFonts w:cstheme="minorHAnsi"/>
          <w:color w:val="000000" w:themeColor="text1"/>
          <w:sz w:val="24"/>
          <w:szCs w:val="24"/>
        </w:rPr>
        <w:t>00 00</w:t>
      </w:r>
    </w:p>
    <w:p w14:paraId="2CB59004" w14:textId="77777777" w:rsidR="007442D2" w:rsidRPr="003542CB" w:rsidRDefault="00667CE3"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ab/>
      </w:r>
      <w:r w:rsidR="007442D2" w:rsidRPr="003542CB">
        <w:rPr>
          <w:rFonts w:cstheme="minorHAnsi"/>
          <w:color w:val="000000" w:themeColor="text1"/>
          <w:sz w:val="24"/>
          <w:szCs w:val="24"/>
        </w:rPr>
        <w:t>www.</w:t>
      </w:r>
      <w:r w:rsidR="00C97C7D" w:rsidRPr="003542CB">
        <w:rPr>
          <w:rFonts w:cstheme="minorHAnsi"/>
          <w:color w:val="000000" w:themeColor="text1"/>
          <w:sz w:val="24"/>
          <w:szCs w:val="24"/>
        </w:rPr>
        <w:t>mgcredit</w:t>
      </w:r>
      <w:r w:rsidR="007442D2" w:rsidRPr="003542CB">
        <w:rPr>
          <w:rFonts w:cstheme="minorHAnsi"/>
          <w:color w:val="000000" w:themeColor="text1"/>
          <w:sz w:val="24"/>
          <w:szCs w:val="24"/>
        </w:rPr>
        <w:t>.cz</w:t>
      </w:r>
    </w:p>
    <w:p w14:paraId="4C62C697" w14:textId="56825CE9" w:rsidR="00335A5A" w:rsidRPr="003542CB" w:rsidRDefault="00335A5A" w:rsidP="00E3584D">
      <w:pPr>
        <w:spacing w:line="280" w:lineRule="atLeast"/>
        <w:ind w:firstLine="708"/>
        <w:jc w:val="both"/>
        <w:rPr>
          <w:rFonts w:cstheme="minorHAnsi"/>
          <w:color w:val="000000" w:themeColor="text1"/>
          <w:sz w:val="24"/>
          <w:szCs w:val="24"/>
        </w:rPr>
      </w:pPr>
      <w:r w:rsidRPr="003542CB">
        <w:rPr>
          <w:rFonts w:cstheme="minorHAnsi"/>
          <w:color w:val="000000" w:themeColor="text1"/>
          <w:sz w:val="24"/>
          <w:szCs w:val="24"/>
        </w:rPr>
        <w:t xml:space="preserve">Orgánem dohledu odpovědným za finanční dohled nad </w:t>
      </w:r>
      <w:r w:rsidR="00C97C7D" w:rsidRPr="003542CB">
        <w:rPr>
          <w:rFonts w:cstheme="minorHAnsi"/>
          <w:color w:val="000000" w:themeColor="text1"/>
          <w:sz w:val="24"/>
          <w:szCs w:val="24"/>
        </w:rPr>
        <w:t>Pojišťovnou</w:t>
      </w:r>
      <w:r w:rsidR="007442D2" w:rsidRPr="003542CB">
        <w:rPr>
          <w:rFonts w:cstheme="minorHAnsi"/>
          <w:color w:val="000000" w:themeColor="text1"/>
          <w:sz w:val="24"/>
          <w:szCs w:val="24"/>
        </w:rPr>
        <w:t xml:space="preserve"> </w:t>
      </w:r>
      <w:r w:rsidRPr="003542CB">
        <w:rPr>
          <w:rFonts w:cstheme="minorHAnsi"/>
          <w:color w:val="000000" w:themeColor="text1"/>
          <w:sz w:val="24"/>
          <w:szCs w:val="24"/>
        </w:rPr>
        <w:t xml:space="preserve">je Česká národní banka. </w:t>
      </w:r>
      <w:r w:rsidR="007442D2" w:rsidRPr="003542CB">
        <w:rPr>
          <w:rFonts w:cstheme="minorHAnsi"/>
          <w:color w:val="000000" w:themeColor="text1"/>
          <w:sz w:val="24"/>
          <w:szCs w:val="24"/>
        </w:rPr>
        <w:t xml:space="preserve">Povinný audit účetní závěrky </w:t>
      </w:r>
      <w:r w:rsidR="00612A74" w:rsidRPr="003542CB">
        <w:rPr>
          <w:rFonts w:cstheme="minorHAnsi"/>
          <w:color w:val="000000" w:themeColor="text1"/>
          <w:sz w:val="24"/>
          <w:szCs w:val="24"/>
        </w:rPr>
        <w:t>za rok 20</w:t>
      </w:r>
      <w:r w:rsidR="00111446" w:rsidRPr="003542CB">
        <w:rPr>
          <w:rFonts w:cstheme="minorHAnsi"/>
          <w:color w:val="000000" w:themeColor="text1"/>
          <w:sz w:val="24"/>
          <w:szCs w:val="24"/>
        </w:rPr>
        <w:t>20</w:t>
      </w:r>
      <w:r w:rsidR="00EB18FB" w:rsidRPr="003542CB">
        <w:rPr>
          <w:rFonts w:cstheme="minorHAnsi"/>
          <w:color w:val="000000" w:themeColor="text1"/>
          <w:sz w:val="24"/>
          <w:szCs w:val="24"/>
        </w:rPr>
        <w:t xml:space="preserve"> </w:t>
      </w:r>
      <w:r w:rsidR="007442D2" w:rsidRPr="003542CB">
        <w:rPr>
          <w:rFonts w:cstheme="minorHAnsi"/>
          <w:color w:val="000000" w:themeColor="text1"/>
          <w:sz w:val="24"/>
          <w:szCs w:val="24"/>
        </w:rPr>
        <w:t>je prov</w:t>
      </w:r>
      <w:r w:rsidR="00EB18FB" w:rsidRPr="003542CB">
        <w:rPr>
          <w:rFonts w:cstheme="minorHAnsi"/>
          <w:color w:val="000000" w:themeColor="text1"/>
          <w:sz w:val="24"/>
          <w:szCs w:val="24"/>
        </w:rPr>
        <w:t>eden</w:t>
      </w:r>
      <w:r w:rsidR="007442D2" w:rsidRPr="003542CB">
        <w:rPr>
          <w:rFonts w:cstheme="minorHAnsi"/>
          <w:color w:val="000000" w:themeColor="text1"/>
          <w:sz w:val="24"/>
          <w:szCs w:val="24"/>
        </w:rPr>
        <w:t xml:space="preserve"> externím </w:t>
      </w:r>
      <w:proofErr w:type="gramStart"/>
      <w:r w:rsidR="007442D2" w:rsidRPr="003542CB">
        <w:rPr>
          <w:rFonts w:cstheme="minorHAnsi"/>
          <w:color w:val="000000" w:themeColor="text1"/>
          <w:sz w:val="24"/>
          <w:szCs w:val="24"/>
        </w:rPr>
        <w:t>auditorem</w:t>
      </w:r>
      <w:r w:rsidR="00612A74" w:rsidRPr="003542CB">
        <w:rPr>
          <w:rFonts w:cstheme="minorHAnsi"/>
          <w:color w:val="000000" w:themeColor="text1"/>
          <w:sz w:val="24"/>
          <w:szCs w:val="24"/>
        </w:rPr>
        <w:t xml:space="preserve"> -</w:t>
      </w:r>
      <w:r w:rsidR="007442D2" w:rsidRPr="003542CB">
        <w:rPr>
          <w:rFonts w:cstheme="minorHAnsi"/>
          <w:color w:val="000000" w:themeColor="text1"/>
          <w:sz w:val="24"/>
          <w:szCs w:val="24"/>
        </w:rPr>
        <w:t xml:space="preserve"> společností</w:t>
      </w:r>
      <w:proofErr w:type="gramEnd"/>
      <w:r w:rsidR="007442D2" w:rsidRPr="003542CB">
        <w:rPr>
          <w:rFonts w:cstheme="minorHAnsi"/>
          <w:color w:val="000000" w:themeColor="text1"/>
          <w:sz w:val="24"/>
          <w:szCs w:val="24"/>
        </w:rPr>
        <w:t xml:space="preserve"> </w:t>
      </w:r>
      <w:r w:rsidR="00C97C7D" w:rsidRPr="003542CB">
        <w:rPr>
          <w:rFonts w:cstheme="minorHAnsi"/>
          <w:color w:val="000000" w:themeColor="text1"/>
          <w:sz w:val="24"/>
          <w:szCs w:val="24"/>
        </w:rPr>
        <w:t xml:space="preserve">MG </w:t>
      </w:r>
      <w:proofErr w:type="spellStart"/>
      <w:r w:rsidR="00C97C7D" w:rsidRPr="003542CB">
        <w:rPr>
          <w:rFonts w:cstheme="minorHAnsi"/>
          <w:color w:val="000000" w:themeColor="text1"/>
          <w:sz w:val="24"/>
          <w:szCs w:val="24"/>
        </w:rPr>
        <w:t>Credit</w:t>
      </w:r>
      <w:proofErr w:type="spellEnd"/>
      <w:r w:rsidR="00C97C7D" w:rsidRPr="003542CB">
        <w:rPr>
          <w:rFonts w:cstheme="minorHAnsi"/>
          <w:color w:val="000000" w:themeColor="text1"/>
          <w:sz w:val="24"/>
          <w:szCs w:val="24"/>
        </w:rPr>
        <w:t>,</w:t>
      </w:r>
      <w:r w:rsidR="00187FE8" w:rsidRPr="003542CB">
        <w:rPr>
          <w:rFonts w:cstheme="minorHAnsi"/>
          <w:color w:val="000000" w:themeColor="text1"/>
          <w:sz w:val="24"/>
          <w:szCs w:val="24"/>
        </w:rPr>
        <w:t xml:space="preserve"> s.r.o.</w:t>
      </w:r>
    </w:p>
    <w:p w14:paraId="50A4B2AA" w14:textId="77777777" w:rsidR="00E3584D" w:rsidRDefault="00E3584D" w:rsidP="00E3584D">
      <w:pPr>
        <w:pStyle w:val="Nadpis2"/>
        <w:spacing w:line="280" w:lineRule="atLeast"/>
        <w:rPr>
          <w:rFonts w:asciiTheme="minorHAnsi" w:hAnsiTheme="minorHAnsi" w:cstheme="minorHAnsi"/>
          <w:b/>
          <w:color w:val="000000" w:themeColor="text1"/>
        </w:rPr>
      </w:pPr>
    </w:p>
    <w:p w14:paraId="599D74F3" w14:textId="0E904B48" w:rsidR="00C23724" w:rsidRPr="003542CB" w:rsidRDefault="00C23724" w:rsidP="00E3584D">
      <w:pPr>
        <w:pStyle w:val="Nadpis2"/>
        <w:spacing w:after="120" w:line="280" w:lineRule="atLeast"/>
        <w:rPr>
          <w:rFonts w:asciiTheme="minorHAnsi" w:hAnsiTheme="minorHAnsi" w:cstheme="minorHAnsi"/>
          <w:b/>
          <w:color w:val="000000" w:themeColor="text1"/>
        </w:rPr>
      </w:pPr>
      <w:bookmarkStart w:id="13" w:name="_Toc75366882"/>
      <w:r w:rsidRPr="003542CB">
        <w:rPr>
          <w:rFonts w:asciiTheme="minorHAnsi" w:hAnsiTheme="minorHAnsi" w:cstheme="minorHAnsi"/>
          <w:b/>
          <w:color w:val="000000" w:themeColor="text1"/>
        </w:rPr>
        <w:t>3.2. Struktura skupiny</w:t>
      </w:r>
      <w:bookmarkEnd w:id="13"/>
    </w:p>
    <w:p w14:paraId="740DF029" w14:textId="596715B9" w:rsidR="00F41319" w:rsidRPr="003542CB" w:rsidRDefault="00814EA4"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Pojišťovna je součástí finanční skupiny, kdy j</w:t>
      </w:r>
      <w:r w:rsidR="00FC0634" w:rsidRPr="003542CB">
        <w:rPr>
          <w:rFonts w:cstheme="minorHAnsi"/>
          <w:color w:val="000000" w:themeColor="text1"/>
          <w:sz w:val="24"/>
          <w:szCs w:val="24"/>
        </w:rPr>
        <w:t>ediným</w:t>
      </w:r>
      <w:r w:rsidR="00187FE8" w:rsidRPr="003542CB">
        <w:rPr>
          <w:rFonts w:cstheme="minorHAnsi"/>
          <w:color w:val="000000" w:themeColor="text1"/>
          <w:sz w:val="24"/>
          <w:szCs w:val="24"/>
        </w:rPr>
        <w:t xml:space="preserve"> akcionářem a vlastníkem </w:t>
      </w:r>
      <w:r w:rsidR="00F46033" w:rsidRPr="003542CB">
        <w:rPr>
          <w:rFonts w:cstheme="minorHAnsi"/>
          <w:color w:val="000000" w:themeColor="text1"/>
          <w:sz w:val="24"/>
          <w:szCs w:val="24"/>
        </w:rPr>
        <w:t xml:space="preserve">nejen </w:t>
      </w:r>
      <w:r w:rsidR="00187FE8" w:rsidRPr="003542CB">
        <w:rPr>
          <w:rFonts w:cstheme="minorHAnsi"/>
          <w:color w:val="000000" w:themeColor="text1"/>
          <w:sz w:val="24"/>
          <w:szCs w:val="24"/>
        </w:rPr>
        <w:t>Pojišťovny</w:t>
      </w:r>
      <w:r w:rsidR="00F46033" w:rsidRPr="003542CB">
        <w:rPr>
          <w:rFonts w:cstheme="minorHAnsi"/>
          <w:color w:val="000000" w:themeColor="text1"/>
          <w:sz w:val="24"/>
          <w:szCs w:val="24"/>
        </w:rPr>
        <w:t>, ale celé skupiny,</w:t>
      </w:r>
      <w:r w:rsidR="00187FE8" w:rsidRPr="003542CB">
        <w:rPr>
          <w:rFonts w:cstheme="minorHAnsi"/>
          <w:color w:val="000000" w:themeColor="text1"/>
          <w:sz w:val="24"/>
          <w:szCs w:val="24"/>
        </w:rPr>
        <w:t xml:space="preserve"> je Oborová zdravotní pojišťovna zaměstnanců bank, pojišťoven a stavebnictví (dále jen „OZP“).</w:t>
      </w:r>
      <w:r w:rsidR="00434E6C" w:rsidRPr="003542CB">
        <w:rPr>
          <w:rFonts w:cstheme="minorHAnsi"/>
          <w:color w:val="000000" w:themeColor="text1"/>
          <w:sz w:val="24"/>
          <w:szCs w:val="24"/>
        </w:rPr>
        <w:t xml:space="preserve"> Podíl OZP n</w:t>
      </w:r>
      <w:r w:rsidR="001E3C40" w:rsidRPr="003542CB">
        <w:rPr>
          <w:rFonts w:cstheme="minorHAnsi"/>
          <w:color w:val="000000" w:themeColor="text1"/>
          <w:sz w:val="24"/>
          <w:szCs w:val="24"/>
        </w:rPr>
        <w:t xml:space="preserve">a hlasovacích právech činí </w:t>
      </w:r>
      <w:proofErr w:type="gramStart"/>
      <w:r w:rsidR="001E3C40" w:rsidRPr="003542CB">
        <w:rPr>
          <w:rFonts w:cstheme="minorHAnsi"/>
          <w:color w:val="000000" w:themeColor="text1"/>
          <w:sz w:val="24"/>
          <w:szCs w:val="24"/>
        </w:rPr>
        <w:t>100%</w:t>
      </w:r>
      <w:proofErr w:type="gramEnd"/>
      <w:r w:rsidR="001E3C40" w:rsidRPr="003542CB">
        <w:rPr>
          <w:rFonts w:cstheme="minorHAnsi"/>
          <w:color w:val="000000" w:themeColor="text1"/>
          <w:sz w:val="24"/>
          <w:szCs w:val="24"/>
        </w:rPr>
        <w:t>, podíl na základním kapitálu je rovněž 100%.</w:t>
      </w:r>
      <w:r w:rsidRPr="003542CB">
        <w:rPr>
          <w:rFonts w:cstheme="minorHAnsi"/>
          <w:color w:val="000000" w:themeColor="text1"/>
          <w:sz w:val="24"/>
          <w:szCs w:val="24"/>
        </w:rPr>
        <w:t xml:space="preserve"> Nejvyšším orgánem jediného akcionáře je valná hromada, výkonem této funkce </w:t>
      </w:r>
      <w:r w:rsidR="00D611DC" w:rsidRPr="003542CB">
        <w:rPr>
          <w:rFonts w:cstheme="minorHAnsi"/>
          <w:color w:val="000000" w:themeColor="text1"/>
          <w:sz w:val="24"/>
          <w:szCs w:val="24"/>
        </w:rPr>
        <w:t>je pověřen generální ředitel OZP.</w:t>
      </w:r>
    </w:p>
    <w:p w14:paraId="55C35552" w14:textId="62B93E9C" w:rsidR="004809DB" w:rsidRPr="003542CB" w:rsidRDefault="00D611DC"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OZP je s Pojišťovnou propojena formou </w:t>
      </w:r>
      <w:r w:rsidR="00754823" w:rsidRPr="003542CB">
        <w:rPr>
          <w:rFonts w:cstheme="minorHAnsi"/>
          <w:color w:val="000000" w:themeColor="text1"/>
          <w:sz w:val="24"/>
          <w:szCs w:val="24"/>
        </w:rPr>
        <w:t>zastoupení</w:t>
      </w:r>
      <w:r w:rsidR="000A6680" w:rsidRPr="003542CB">
        <w:rPr>
          <w:rFonts w:cstheme="minorHAnsi"/>
          <w:color w:val="000000" w:themeColor="text1"/>
          <w:sz w:val="24"/>
          <w:szCs w:val="24"/>
        </w:rPr>
        <w:t xml:space="preserve"> ve statutárních orgánech, konkrétně má</w:t>
      </w:r>
      <w:r w:rsidRPr="003542CB">
        <w:rPr>
          <w:rFonts w:cstheme="minorHAnsi"/>
          <w:color w:val="000000" w:themeColor="text1"/>
          <w:sz w:val="24"/>
          <w:szCs w:val="24"/>
        </w:rPr>
        <w:t xml:space="preserve"> </w:t>
      </w:r>
      <w:r w:rsidR="000A6680" w:rsidRPr="003542CB">
        <w:rPr>
          <w:rFonts w:cstheme="minorHAnsi"/>
          <w:color w:val="000000" w:themeColor="text1"/>
          <w:sz w:val="24"/>
          <w:szCs w:val="24"/>
        </w:rPr>
        <w:t>jednoho</w:t>
      </w:r>
      <w:r w:rsidRPr="003542CB">
        <w:rPr>
          <w:rFonts w:cstheme="minorHAnsi"/>
          <w:color w:val="000000" w:themeColor="text1"/>
          <w:sz w:val="24"/>
          <w:szCs w:val="24"/>
        </w:rPr>
        <w:t xml:space="preserve"> člen</w:t>
      </w:r>
      <w:r w:rsidR="000A6680" w:rsidRPr="003542CB">
        <w:rPr>
          <w:rFonts w:cstheme="minorHAnsi"/>
          <w:color w:val="000000" w:themeColor="text1"/>
          <w:sz w:val="24"/>
          <w:szCs w:val="24"/>
        </w:rPr>
        <w:t>a</w:t>
      </w:r>
      <w:r w:rsidR="00F46033" w:rsidRPr="003542CB">
        <w:rPr>
          <w:rFonts w:cstheme="minorHAnsi"/>
          <w:color w:val="000000" w:themeColor="text1"/>
          <w:sz w:val="24"/>
          <w:szCs w:val="24"/>
        </w:rPr>
        <w:t xml:space="preserve"> </w:t>
      </w:r>
      <w:r w:rsidR="000A6680" w:rsidRPr="003542CB">
        <w:rPr>
          <w:rFonts w:cstheme="minorHAnsi"/>
          <w:color w:val="000000" w:themeColor="text1"/>
          <w:sz w:val="24"/>
          <w:szCs w:val="24"/>
        </w:rPr>
        <w:t>v</w:t>
      </w:r>
      <w:r w:rsidR="00F46033" w:rsidRPr="003542CB">
        <w:rPr>
          <w:rFonts w:cstheme="minorHAnsi"/>
          <w:color w:val="000000" w:themeColor="text1"/>
          <w:sz w:val="24"/>
          <w:szCs w:val="24"/>
        </w:rPr>
        <w:t xml:space="preserve"> </w:t>
      </w:r>
      <w:r w:rsidRPr="003542CB">
        <w:rPr>
          <w:rFonts w:cstheme="minorHAnsi"/>
          <w:color w:val="000000" w:themeColor="text1"/>
          <w:sz w:val="24"/>
          <w:szCs w:val="24"/>
        </w:rPr>
        <w:t>představenstv</w:t>
      </w:r>
      <w:r w:rsidR="000A6680" w:rsidRPr="003542CB">
        <w:rPr>
          <w:rFonts w:cstheme="minorHAnsi"/>
          <w:color w:val="000000" w:themeColor="text1"/>
          <w:sz w:val="24"/>
          <w:szCs w:val="24"/>
        </w:rPr>
        <w:t>u a</w:t>
      </w:r>
      <w:r w:rsidRPr="003542CB">
        <w:rPr>
          <w:rFonts w:cstheme="minorHAnsi"/>
          <w:color w:val="000000" w:themeColor="text1"/>
          <w:sz w:val="24"/>
          <w:szCs w:val="24"/>
        </w:rPr>
        <w:t xml:space="preserve"> </w:t>
      </w:r>
      <w:r w:rsidR="00A712C9" w:rsidRPr="003542CB">
        <w:rPr>
          <w:rFonts w:cstheme="minorHAnsi"/>
          <w:color w:val="000000" w:themeColor="text1"/>
          <w:sz w:val="24"/>
          <w:szCs w:val="24"/>
        </w:rPr>
        <w:t>dva</w:t>
      </w:r>
      <w:r w:rsidRPr="003542CB">
        <w:rPr>
          <w:rFonts w:cstheme="minorHAnsi"/>
          <w:color w:val="000000" w:themeColor="text1"/>
          <w:sz w:val="24"/>
          <w:szCs w:val="24"/>
        </w:rPr>
        <w:t xml:space="preserve"> člen</w:t>
      </w:r>
      <w:r w:rsidR="00A712C9" w:rsidRPr="003542CB">
        <w:rPr>
          <w:rFonts w:cstheme="minorHAnsi"/>
          <w:color w:val="000000" w:themeColor="text1"/>
          <w:sz w:val="24"/>
          <w:szCs w:val="24"/>
        </w:rPr>
        <w:t>y</w:t>
      </w:r>
      <w:r w:rsidR="00F46033" w:rsidRPr="003542CB">
        <w:rPr>
          <w:rFonts w:cstheme="minorHAnsi"/>
          <w:color w:val="000000" w:themeColor="text1"/>
          <w:sz w:val="24"/>
          <w:szCs w:val="24"/>
        </w:rPr>
        <w:t xml:space="preserve"> z tříčlenné dozorčí rady</w:t>
      </w:r>
      <w:r w:rsidR="000A6680" w:rsidRPr="003542CB">
        <w:rPr>
          <w:rFonts w:cstheme="minorHAnsi"/>
          <w:color w:val="000000" w:themeColor="text1"/>
          <w:sz w:val="24"/>
          <w:szCs w:val="24"/>
        </w:rPr>
        <w:t>.</w:t>
      </w:r>
      <w:r w:rsidR="000A6680" w:rsidRPr="003542CB" w:rsidDel="000A6680">
        <w:rPr>
          <w:rFonts w:cstheme="minorHAnsi"/>
          <w:color w:val="000000" w:themeColor="text1"/>
          <w:sz w:val="24"/>
          <w:szCs w:val="24"/>
        </w:rPr>
        <w:t xml:space="preserve"> </w:t>
      </w:r>
    </w:p>
    <w:p w14:paraId="5091B747" w14:textId="77777777" w:rsidR="00E3584D" w:rsidRDefault="00E3584D">
      <w:pPr>
        <w:rPr>
          <w:rFonts w:cstheme="minorHAnsi"/>
          <w:b/>
          <w:i/>
          <w:color w:val="000000" w:themeColor="text1"/>
          <w:sz w:val="24"/>
          <w:szCs w:val="24"/>
        </w:rPr>
      </w:pPr>
      <w:r>
        <w:rPr>
          <w:rFonts w:cstheme="minorHAnsi"/>
          <w:b/>
          <w:i/>
          <w:color w:val="000000" w:themeColor="text1"/>
          <w:sz w:val="24"/>
          <w:szCs w:val="24"/>
        </w:rPr>
        <w:br w:type="page"/>
      </w:r>
    </w:p>
    <w:p w14:paraId="41AD1184" w14:textId="71151348" w:rsidR="00F41319" w:rsidRPr="003542CB" w:rsidRDefault="00F41319" w:rsidP="00E3584D">
      <w:pPr>
        <w:spacing w:line="280" w:lineRule="atLeast"/>
        <w:jc w:val="both"/>
        <w:rPr>
          <w:rFonts w:cstheme="minorHAnsi"/>
          <w:b/>
          <w:i/>
          <w:color w:val="000000" w:themeColor="text1"/>
          <w:sz w:val="24"/>
          <w:szCs w:val="24"/>
        </w:rPr>
      </w:pPr>
      <w:r w:rsidRPr="003542CB">
        <w:rPr>
          <w:rFonts w:cstheme="minorHAnsi"/>
          <w:b/>
          <w:i/>
          <w:color w:val="000000" w:themeColor="text1"/>
          <w:sz w:val="24"/>
          <w:szCs w:val="24"/>
        </w:rPr>
        <w:lastRenderedPageBreak/>
        <w:t>Identifikační údaje jediného akcionáře:</w:t>
      </w:r>
    </w:p>
    <w:p w14:paraId="2785CFEB" w14:textId="77777777" w:rsidR="00187FE8" w:rsidRPr="003542CB" w:rsidRDefault="00187FE8"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Oborová zdravotní pojišťovna zaměstnanců bank, pojišťoven a stavebnictví</w:t>
      </w:r>
    </w:p>
    <w:p w14:paraId="5386317A" w14:textId="77777777" w:rsidR="00434E6C" w:rsidRPr="003542CB" w:rsidRDefault="00434E6C"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Roškotova 1225/1</w:t>
      </w:r>
    </w:p>
    <w:p w14:paraId="5E24FD9E" w14:textId="77777777" w:rsidR="00434E6C" w:rsidRPr="003542CB" w:rsidRDefault="00434E6C"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Praha 4 – Braník</w:t>
      </w:r>
    </w:p>
    <w:p w14:paraId="4C22909B" w14:textId="77777777" w:rsidR="00434E6C" w:rsidRPr="003542CB" w:rsidRDefault="00434E6C"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140 00</w:t>
      </w:r>
    </w:p>
    <w:p w14:paraId="65126DF6" w14:textId="77777777" w:rsidR="00434E6C" w:rsidRPr="003542CB" w:rsidRDefault="00434E6C" w:rsidP="00E3584D">
      <w:pPr>
        <w:spacing w:after="60" w:line="280" w:lineRule="atLeast"/>
        <w:jc w:val="both"/>
        <w:rPr>
          <w:rFonts w:cstheme="minorHAnsi"/>
          <w:color w:val="000000" w:themeColor="text1"/>
          <w:sz w:val="24"/>
          <w:szCs w:val="24"/>
        </w:rPr>
      </w:pPr>
      <w:r w:rsidRPr="003542CB">
        <w:rPr>
          <w:rFonts w:cstheme="minorHAnsi"/>
          <w:color w:val="000000" w:themeColor="text1"/>
          <w:sz w:val="24"/>
          <w:szCs w:val="24"/>
        </w:rPr>
        <w:tab/>
        <w:t>IČ</w:t>
      </w:r>
      <w:r w:rsidR="005432C1" w:rsidRPr="003542CB">
        <w:rPr>
          <w:rFonts w:cstheme="minorHAnsi"/>
          <w:color w:val="000000" w:themeColor="text1"/>
          <w:sz w:val="24"/>
          <w:szCs w:val="24"/>
        </w:rPr>
        <w:t>O</w:t>
      </w:r>
      <w:r w:rsidRPr="003542CB">
        <w:rPr>
          <w:rFonts w:cstheme="minorHAnsi"/>
          <w:color w:val="000000" w:themeColor="text1"/>
          <w:sz w:val="24"/>
          <w:szCs w:val="24"/>
        </w:rPr>
        <w:t>: 471 14</w:t>
      </w:r>
      <w:r w:rsidR="004809DB" w:rsidRPr="003542CB">
        <w:rPr>
          <w:rFonts w:cstheme="minorHAnsi"/>
          <w:color w:val="000000" w:themeColor="text1"/>
          <w:sz w:val="24"/>
          <w:szCs w:val="24"/>
        </w:rPr>
        <w:t> </w:t>
      </w:r>
      <w:r w:rsidRPr="003542CB">
        <w:rPr>
          <w:rFonts w:cstheme="minorHAnsi"/>
          <w:color w:val="000000" w:themeColor="text1"/>
          <w:sz w:val="24"/>
          <w:szCs w:val="24"/>
        </w:rPr>
        <w:t>321</w:t>
      </w:r>
    </w:p>
    <w:p w14:paraId="29976C63" w14:textId="37A32F53" w:rsidR="004809DB" w:rsidRPr="003542CB" w:rsidRDefault="004809DB" w:rsidP="005606D7">
      <w:pPr>
        <w:spacing w:line="280" w:lineRule="atLeast"/>
        <w:jc w:val="both"/>
        <w:rPr>
          <w:rFonts w:cstheme="minorHAnsi"/>
          <w:color w:val="000000" w:themeColor="text1"/>
          <w:sz w:val="24"/>
          <w:szCs w:val="24"/>
        </w:rPr>
      </w:pPr>
      <w:r w:rsidRPr="003542CB">
        <w:rPr>
          <w:rFonts w:cstheme="minorHAnsi"/>
          <w:color w:val="000000" w:themeColor="text1"/>
          <w:sz w:val="24"/>
          <w:szCs w:val="24"/>
        </w:rPr>
        <w:t>Pojišťovna nemá žádnou účast v dceřiných nebo p</w:t>
      </w:r>
      <w:r w:rsidR="00CB490B" w:rsidRPr="003542CB">
        <w:rPr>
          <w:rFonts w:cstheme="minorHAnsi"/>
          <w:color w:val="000000" w:themeColor="text1"/>
          <w:sz w:val="24"/>
          <w:szCs w:val="24"/>
        </w:rPr>
        <w:t xml:space="preserve">řidružených společnostech.   </w:t>
      </w:r>
    </w:p>
    <w:p w14:paraId="3125EAE8" w14:textId="1DE70D79" w:rsidR="001E3C40" w:rsidRPr="003542CB" w:rsidRDefault="001E3C40"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Na obrázku</w:t>
      </w:r>
      <w:r w:rsidR="00B9321D" w:rsidRPr="003542CB">
        <w:rPr>
          <w:rFonts w:cstheme="minorHAnsi"/>
          <w:color w:val="000000" w:themeColor="text1"/>
          <w:sz w:val="24"/>
          <w:szCs w:val="24"/>
        </w:rPr>
        <w:t xml:space="preserve"> č. 1 </w:t>
      </w:r>
      <w:r w:rsidRPr="003542CB">
        <w:rPr>
          <w:rFonts w:cstheme="minorHAnsi"/>
          <w:color w:val="000000" w:themeColor="text1"/>
          <w:sz w:val="24"/>
          <w:szCs w:val="24"/>
        </w:rPr>
        <w:t xml:space="preserve">je vyznačena organizační </w:t>
      </w:r>
      <w:r w:rsidR="004C3C61" w:rsidRPr="003542CB">
        <w:rPr>
          <w:rFonts w:cstheme="minorHAnsi"/>
          <w:color w:val="000000" w:themeColor="text1"/>
          <w:sz w:val="24"/>
          <w:szCs w:val="24"/>
        </w:rPr>
        <w:t>struktura společností ovládaných OZP, včetně pozice Pojišťovny.</w:t>
      </w:r>
    </w:p>
    <w:p w14:paraId="16B19110" w14:textId="77777777" w:rsidR="00B9321D" w:rsidRPr="003542CB" w:rsidRDefault="00B9321D"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Obr. č. 1 – Organizační struktura ovládajících a ovládaných osob</w:t>
      </w:r>
    </w:p>
    <w:p w14:paraId="3516D0EE" w14:textId="322D61C7" w:rsidR="00434E6C" w:rsidRPr="003542CB" w:rsidRDefault="00A3589F" w:rsidP="00E3584D">
      <w:pPr>
        <w:spacing w:line="280" w:lineRule="atLeast"/>
        <w:jc w:val="center"/>
        <w:rPr>
          <w:rFonts w:cstheme="minorHAnsi"/>
          <w:color w:val="000000" w:themeColor="text1"/>
          <w:sz w:val="24"/>
          <w:szCs w:val="24"/>
        </w:rPr>
      </w:pPr>
      <w:r w:rsidRPr="003542CB">
        <w:rPr>
          <w:rFonts w:cstheme="minorHAnsi"/>
          <w:noProof/>
          <w:color w:val="000000" w:themeColor="text1"/>
          <w:sz w:val="24"/>
          <w:szCs w:val="24"/>
          <w:lang w:eastAsia="cs-CZ"/>
        </w:rPr>
        <w:drawing>
          <wp:inline distT="0" distB="0" distL="0" distR="0" wp14:anchorId="3458A69E" wp14:editId="09A71288">
            <wp:extent cx="3733800" cy="167811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7823" cy="1688915"/>
                    </a:xfrm>
                    <a:prstGeom prst="rect">
                      <a:avLst/>
                    </a:prstGeom>
                    <a:noFill/>
                    <a:ln>
                      <a:noFill/>
                    </a:ln>
                  </pic:spPr>
                </pic:pic>
              </a:graphicData>
            </a:graphic>
          </wp:inline>
        </w:drawing>
      </w:r>
    </w:p>
    <w:p w14:paraId="475A0431" w14:textId="740993D1" w:rsidR="00AE477F" w:rsidRPr="003542CB" w:rsidRDefault="00612A74" w:rsidP="00E3584D">
      <w:pPr>
        <w:spacing w:line="280" w:lineRule="atLeast"/>
        <w:jc w:val="both"/>
        <w:rPr>
          <w:rFonts w:cstheme="minorHAnsi"/>
          <w:i/>
          <w:color w:val="000000" w:themeColor="text1"/>
          <w:sz w:val="20"/>
          <w:szCs w:val="24"/>
        </w:rPr>
      </w:pPr>
      <w:r w:rsidRPr="003542CB">
        <w:rPr>
          <w:rFonts w:cstheme="minorHAnsi"/>
          <w:i/>
          <w:color w:val="000000" w:themeColor="text1"/>
          <w:sz w:val="20"/>
          <w:szCs w:val="24"/>
        </w:rPr>
        <w:t>Stav k 31.12.20</w:t>
      </w:r>
      <w:r w:rsidR="007561CC" w:rsidRPr="003542CB">
        <w:rPr>
          <w:rFonts w:cstheme="minorHAnsi"/>
          <w:i/>
          <w:color w:val="000000" w:themeColor="text1"/>
          <w:sz w:val="20"/>
          <w:szCs w:val="24"/>
        </w:rPr>
        <w:t>20</w:t>
      </w:r>
    </w:p>
    <w:p w14:paraId="65DB67D6" w14:textId="5DB453B4" w:rsidR="00DC7EE1" w:rsidRPr="003542CB" w:rsidRDefault="00E44FD2" w:rsidP="00E3584D">
      <w:pPr>
        <w:spacing w:line="280" w:lineRule="atLeast"/>
        <w:jc w:val="both"/>
        <w:rPr>
          <w:rFonts w:cstheme="minorHAnsi"/>
          <w:color w:val="000000" w:themeColor="text1"/>
          <w:sz w:val="24"/>
          <w:szCs w:val="24"/>
        </w:rPr>
      </w:pPr>
      <w:r w:rsidRPr="003542CB">
        <w:rPr>
          <w:rFonts w:cstheme="minorHAnsi"/>
          <w:i/>
          <w:color w:val="000000" w:themeColor="text1"/>
          <w:sz w:val="20"/>
          <w:szCs w:val="24"/>
        </w:rPr>
        <w:t>* PREVENCE – Zájmové sdružení právnických osob</w:t>
      </w:r>
      <w:r w:rsidR="00D209FF" w:rsidRPr="003542CB">
        <w:rPr>
          <w:rFonts w:cstheme="minorHAnsi"/>
          <w:color w:val="000000" w:themeColor="text1"/>
          <w:sz w:val="24"/>
          <w:szCs w:val="24"/>
        </w:rPr>
        <w:tab/>
      </w:r>
      <w:r w:rsidR="00DC7EE1" w:rsidRPr="003542CB">
        <w:rPr>
          <w:rFonts w:cstheme="minorHAnsi"/>
          <w:color w:val="000000" w:themeColor="text1"/>
          <w:sz w:val="24"/>
          <w:szCs w:val="24"/>
        </w:rPr>
        <w:tab/>
      </w:r>
    </w:p>
    <w:p w14:paraId="4A9ACDE0" w14:textId="77777777" w:rsidR="005606D7" w:rsidRDefault="005606D7" w:rsidP="00E3584D">
      <w:pPr>
        <w:pStyle w:val="Nadpis2"/>
        <w:spacing w:line="280" w:lineRule="atLeast"/>
        <w:rPr>
          <w:rFonts w:asciiTheme="minorHAnsi" w:hAnsiTheme="minorHAnsi" w:cstheme="minorHAnsi"/>
          <w:b/>
          <w:color w:val="000000" w:themeColor="text1"/>
        </w:rPr>
      </w:pPr>
    </w:p>
    <w:p w14:paraId="2D2B6D83" w14:textId="43FC8C2F" w:rsidR="00630D75" w:rsidRPr="003542CB" w:rsidRDefault="00630D75" w:rsidP="005606D7">
      <w:pPr>
        <w:pStyle w:val="Nadpis2"/>
        <w:spacing w:after="120" w:line="280" w:lineRule="atLeast"/>
        <w:rPr>
          <w:rFonts w:asciiTheme="minorHAnsi" w:hAnsiTheme="minorHAnsi" w:cstheme="minorHAnsi"/>
          <w:b/>
          <w:color w:val="000000" w:themeColor="text1"/>
        </w:rPr>
      </w:pPr>
      <w:bookmarkStart w:id="14" w:name="_Toc75366883"/>
      <w:r w:rsidRPr="003542CB">
        <w:rPr>
          <w:rFonts w:asciiTheme="minorHAnsi" w:hAnsiTheme="minorHAnsi" w:cstheme="minorHAnsi"/>
          <w:b/>
          <w:color w:val="000000" w:themeColor="text1"/>
        </w:rPr>
        <w:t>3.3. Činnost pojišťovny</w:t>
      </w:r>
      <w:r w:rsidR="00F46033" w:rsidRPr="003542CB">
        <w:rPr>
          <w:rFonts w:asciiTheme="minorHAnsi" w:hAnsiTheme="minorHAnsi" w:cstheme="minorHAnsi"/>
          <w:b/>
          <w:color w:val="000000" w:themeColor="text1"/>
        </w:rPr>
        <w:t xml:space="preserve"> v roce 20</w:t>
      </w:r>
      <w:r w:rsidR="00FC12FE" w:rsidRPr="003542CB">
        <w:rPr>
          <w:rFonts w:asciiTheme="minorHAnsi" w:hAnsiTheme="minorHAnsi" w:cstheme="minorHAnsi"/>
          <w:b/>
          <w:color w:val="000000" w:themeColor="text1"/>
        </w:rPr>
        <w:t>20</w:t>
      </w:r>
      <w:bookmarkEnd w:id="14"/>
    </w:p>
    <w:p w14:paraId="1E1D1B68" w14:textId="655A033F" w:rsidR="00630D75" w:rsidRPr="003542CB" w:rsidRDefault="00E95A4E" w:rsidP="005606D7">
      <w:pPr>
        <w:spacing w:line="280" w:lineRule="atLeast"/>
        <w:jc w:val="both"/>
        <w:rPr>
          <w:rFonts w:cstheme="minorHAnsi"/>
          <w:color w:val="000000" w:themeColor="text1"/>
          <w:sz w:val="24"/>
          <w:szCs w:val="24"/>
        </w:rPr>
      </w:pPr>
      <w:r w:rsidRPr="003542CB">
        <w:rPr>
          <w:rFonts w:cstheme="minorHAnsi"/>
          <w:color w:val="000000" w:themeColor="text1"/>
          <w:sz w:val="24"/>
          <w:szCs w:val="24"/>
        </w:rPr>
        <w:t>Pojišťovna</w:t>
      </w:r>
      <w:r w:rsidR="00630D75" w:rsidRPr="003542CB">
        <w:rPr>
          <w:rFonts w:cstheme="minorHAnsi"/>
          <w:color w:val="000000" w:themeColor="text1"/>
          <w:sz w:val="24"/>
          <w:szCs w:val="24"/>
        </w:rPr>
        <w:t xml:space="preserve"> prováděla v hodnoceném období</w:t>
      </w:r>
      <w:r w:rsidR="00F46033" w:rsidRPr="003542CB">
        <w:rPr>
          <w:rFonts w:cstheme="minorHAnsi"/>
          <w:color w:val="000000" w:themeColor="text1"/>
          <w:sz w:val="24"/>
          <w:szCs w:val="24"/>
        </w:rPr>
        <w:t xml:space="preserve"> roku 20</w:t>
      </w:r>
      <w:r w:rsidR="00DF6044" w:rsidRPr="003542CB">
        <w:rPr>
          <w:rFonts w:cstheme="minorHAnsi"/>
          <w:color w:val="000000" w:themeColor="text1"/>
          <w:sz w:val="24"/>
          <w:szCs w:val="24"/>
        </w:rPr>
        <w:t>20</w:t>
      </w:r>
      <w:r w:rsidR="00630D75" w:rsidRPr="003542CB">
        <w:rPr>
          <w:rFonts w:cstheme="minorHAnsi"/>
          <w:color w:val="000000" w:themeColor="text1"/>
          <w:sz w:val="24"/>
          <w:szCs w:val="24"/>
        </w:rPr>
        <w:t xml:space="preserve"> pojišťovací činnost dle uděleného povolení v odvětvích neživotního pojištění podle přílohy 1, části B, zákona č. 277/2009 Sb., o pojišťovnictví. V souladu s uvedeným zákonem se jedná o:</w:t>
      </w:r>
    </w:p>
    <w:p w14:paraId="5DB132A1" w14:textId="77777777" w:rsidR="00630D75" w:rsidRPr="003542CB" w:rsidRDefault="00630D75" w:rsidP="00E3584D">
      <w:pPr>
        <w:spacing w:line="280" w:lineRule="atLeast"/>
        <w:ind w:firstLine="708"/>
        <w:jc w:val="both"/>
        <w:rPr>
          <w:rFonts w:cstheme="minorHAnsi"/>
          <w:color w:val="000000" w:themeColor="text1"/>
          <w:sz w:val="24"/>
          <w:szCs w:val="24"/>
        </w:rPr>
      </w:pPr>
      <w:r w:rsidRPr="003542CB">
        <w:rPr>
          <w:rFonts w:cstheme="minorHAnsi"/>
          <w:color w:val="000000" w:themeColor="text1"/>
          <w:sz w:val="24"/>
          <w:szCs w:val="24"/>
        </w:rPr>
        <w:t xml:space="preserve">odvětví č. 1 </w:t>
      </w:r>
      <w:r w:rsidRPr="003542CB">
        <w:rPr>
          <w:rFonts w:cstheme="minorHAnsi"/>
          <w:color w:val="000000" w:themeColor="text1"/>
          <w:sz w:val="24"/>
          <w:szCs w:val="24"/>
        </w:rPr>
        <w:tab/>
      </w:r>
      <w:r w:rsidRPr="003542CB">
        <w:rPr>
          <w:rFonts w:cstheme="minorHAnsi"/>
          <w:color w:val="000000" w:themeColor="text1"/>
          <w:sz w:val="24"/>
          <w:szCs w:val="24"/>
        </w:rPr>
        <w:tab/>
        <w:t>– Úrazové pojištění;</w:t>
      </w:r>
    </w:p>
    <w:p w14:paraId="71F0401F" w14:textId="77777777" w:rsidR="00630D75" w:rsidRPr="003542CB" w:rsidRDefault="00630D75" w:rsidP="00E3584D">
      <w:pPr>
        <w:spacing w:line="280" w:lineRule="atLeast"/>
        <w:ind w:firstLine="708"/>
        <w:jc w:val="both"/>
        <w:rPr>
          <w:rFonts w:cstheme="minorHAnsi"/>
          <w:color w:val="000000" w:themeColor="text1"/>
          <w:sz w:val="24"/>
          <w:szCs w:val="24"/>
        </w:rPr>
      </w:pPr>
      <w:r w:rsidRPr="003542CB">
        <w:rPr>
          <w:rFonts w:cstheme="minorHAnsi"/>
          <w:color w:val="000000" w:themeColor="text1"/>
          <w:sz w:val="24"/>
          <w:szCs w:val="24"/>
        </w:rPr>
        <w:t xml:space="preserve">odvětví č. 2 </w:t>
      </w:r>
      <w:r w:rsidRPr="003542CB">
        <w:rPr>
          <w:rFonts w:cstheme="minorHAnsi"/>
          <w:color w:val="000000" w:themeColor="text1"/>
          <w:sz w:val="24"/>
          <w:szCs w:val="24"/>
        </w:rPr>
        <w:tab/>
      </w:r>
      <w:r w:rsidRPr="003542CB">
        <w:rPr>
          <w:rFonts w:cstheme="minorHAnsi"/>
          <w:color w:val="000000" w:themeColor="text1"/>
          <w:sz w:val="24"/>
          <w:szCs w:val="24"/>
        </w:rPr>
        <w:tab/>
        <w:t>– Pojištění nemoci;</w:t>
      </w:r>
    </w:p>
    <w:p w14:paraId="28D8EC36" w14:textId="77777777" w:rsidR="00630D75" w:rsidRPr="003542CB" w:rsidRDefault="00630D75" w:rsidP="00E3584D">
      <w:pPr>
        <w:spacing w:line="280" w:lineRule="atLeast"/>
        <w:ind w:left="2835" w:hanging="2127"/>
        <w:jc w:val="both"/>
        <w:rPr>
          <w:rFonts w:cstheme="minorHAnsi"/>
          <w:color w:val="000000" w:themeColor="text1"/>
          <w:sz w:val="24"/>
          <w:szCs w:val="24"/>
        </w:rPr>
      </w:pPr>
      <w:r w:rsidRPr="003542CB">
        <w:rPr>
          <w:rFonts w:cstheme="minorHAnsi"/>
          <w:color w:val="000000" w:themeColor="text1"/>
          <w:sz w:val="24"/>
          <w:szCs w:val="24"/>
        </w:rPr>
        <w:t xml:space="preserve">odvětví č. 18 </w:t>
      </w:r>
      <w:r w:rsidRPr="003542CB">
        <w:rPr>
          <w:rFonts w:cstheme="minorHAnsi"/>
          <w:color w:val="000000" w:themeColor="text1"/>
          <w:sz w:val="24"/>
          <w:szCs w:val="24"/>
        </w:rPr>
        <w:tab/>
        <w:t>– Pojištění pomoci osobám v nouzi během cestování nebo pobytu mimo místa svého bydliště, včetně pojištění finančních ztrát bezprostředně souvisejících s cestováním.</w:t>
      </w:r>
    </w:p>
    <w:p w14:paraId="24EA8C57" w14:textId="388AA70F" w:rsidR="00630D75" w:rsidRPr="003542CB" w:rsidRDefault="00630D75"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Zároveň provádí </w:t>
      </w:r>
      <w:r w:rsidR="00E95A4E" w:rsidRPr="003542CB">
        <w:rPr>
          <w:rFonts w:cstheme="minorHAnsi"/>
          <w:color w:val="000000" w:themeColor="text1"/>
          <w:sz w:val="24"/>
          <w:szCs w:val="24"/>
        </w:rPr>
        <w:t>Pojišťovna</w:t>
      </w:r>
      <w:r w:rsidRPr="003542CB">
        <w:rPr>
          <w:rFonts w:cstheme="minorHAnsi"/>
          <w:color w:val="000000" w:themeColor="text1"/>
          <w:sz w:val="24"/>
          <w:szCs w:val="24"/>
        </w:rPr>
        <w:t xml:space="preserve"> pojišťovací činnost v souladu s § 3, odst. 1, písm. f zákona č. 277/2009 Sb., o pojišťovnictví. Především se pak jedná o činnost zprostředkovatelskou, poradenskou a šetření pojistných událostí.</w:t>
      </w:r>
    </w:p>
    <w:p w14:paraId="5516AC56" w14:textId="03C2E72F" w:rsidR="009761C8" w:rsidRPr="003542CB" w:rsidRDefault="00E95A4E" w:rsidP="005606D7">
      <w:pPr>
        <w:spacing w:line="280" w:lineRule="atLeast"/>
        <w:jc w:val="both"/>
        <w:rPr>
          <w:rFonts w:cstheme="minorHAnsi"/>
          <w:color w:val="000000" w:themeColor="text1"/>
          <w:sz w:val="24"/>
          <w:szCs w:val="24"/>
        </w:rPr>
      </w:pPr>
      <w:r w:rsidRPr="003542CB">
        <w:rPr>
          <w:rFonts w:cstheme="minorHAnsi"/>
          <w:color w:val="000000" w:themeColor="text1"/>
          <w:sz w:val="24"/>
          <w:szCs w:val="24"/>
        </w:rPr>
        <w:t>Pojišťovna</w:t>
      </w:r>
      <w:r w:rsidR="00CE792B" w:rsidRPr="003542CB">
        <w:rPr>
          <w:rFonts w:cstheme="minorHAnsi"/>
          <w:color w:val="000000" w:themeColor="text1"/>
          <w:sz w:val="24"/>
          <w:szCs w:val="24"/>
        </w:rPr>
        <w:t xml:space="preserve"> v roce 20</w:t>
      </w:r>
      <w:r w:rsidR="008D6A6C" w:rsidRPr="003542CB">
        <w:rPr>
          <w:rFonts w:cstheme="minorHAnsi"/>
          <w:color w:val="000000" w:themeColor="text1"/>
          <w:sz w:val="24"/>
          <w:szCs w:val="24"/>
        </w:rPr>
        <w:t>20</w:t>
      </w:r>
      <w:r w:rsidR="00630D75" w:rsidRPr="003542CB">
        <w:rPr>
          <w:rFonts w:cstheme="minorHAnsi"/>
          <w:color w:val="000000" w:themeColor="text1"/>
          <w:sz w:val="24"/>
          <w:szCs w:val="24"/>
        </w:rPr>
        <w:t xml:space="preserve"> nabízela klientům komplexní portfolio produktů z pojistného odvětví neživotní pojištění / pojištění osob, které je dlouhodobě stabilní. Cílovou skupinou </w:t>
      </w:r>
      <w:r w:rsidRPr="003542CB">
        <w:rPr>
          <w:rFonts w:cstheme="minorHAnsi"/>
          <w:color w:val="000000" w:themeColor="text1"/>
          <w:sz w:val="24"/>
          <w:szCs w:val="24"/>
        </w:rPr>
        <w:t>Pojišťovny</w:t>
      </w:r>
      <w:r w:rsidR="00630D75" w:rsidRPr="003542CB">
        <w:rPr>
          <w:rFonts w:cstheme="minorHAnsi"/>
          <w:color w:val="000000" w:themeColor="text1"/>
          <w:sz w:val="24"/>
          <w:szCs w:val="24"/>
        </w:rPr>
        <w:t xml:space="preserve"> jsou pak fyzické a právnické osoby, zejména pak pojištěnci partnerských zdravotních pojišťoven</w:t>
      </w:r>
      <w:r w:rsidR="00CE792B" w:rsidRPr="003542CB">
        <w:rPr>
          <w:rFonts w:cstheme="minorHAnsi"/>
          <w:color w:val="000000" w:themeColor="text1"/>
          <w:sz w:val="24"/>
          <w:szCs w:val="24"/>
        </w:rPr>
        <w:t xml:space="preserve"> (OZP a ZPŠ)</w:t>
      </w:r>
      <w:r w:rsidR="00630D75" w:rsidRPr="003542CB">
        <w:rPr>
          <w:rFonts w:cstheme="minorHAnsi"/>
          <w:color w:val="000000" w:themeColor="text1"/>
          <w:sz w:val="24"/>
          <w:szCs w:val="24"/>
        </w:rPr>
        <w:t xml:space="preserve">. </w:t>
      </w:r>
    </w:p>
    <w:p w14:paraId="61DE4B10" w14:textId="77777777" w:rsidR="00096FEB" w:rsidRPr="003542CB" w:rsidRDefault="00096FEB" w:rsidP="005606D7">
      <w:pPr>
        <w:spacing w:line="280" w:lineRule="atLeast"/>
        <w:jc w:val="both"/>
        <w:rPr>
          <w:rFonts w:cstheme="minorHAnsi"/>
          <w:color w:val="000000" w:themeColor="text1"/>
          <w:sz w:val="24"/>
          <w:szCs w:val="24"/>
        </w:rPr>
      </w:pPr>
      <w:r w:rsidRPr="003542CB">
        <w:rPr>
          <w:rFonts w:cstheme="minorHAnsi"/>
          <w:color w:val="000000" w:themeColor="text1"/>
          <w:sz w:val="24"/>
          <w:szCs w:val="24"/>
        </w:rPr>
        <w:t>Činnost Pojišťovny je vyvíjena pouze na území České republiky</w:t>
      </w:r>
      <w:r w:rsidR="008845A7" w:rsidRPr="003542CB">
        <w:rPr>
          <w:rFonts w:cstheme="minorHAnsi"/>
          <w:color w:val="000000" w:themeColor="text1"/>
          <w:sz w:val="24"/>
          <w:szCs w:val="24"/>
        </w:rPr>
        <w:t>.</w:t>
      </w:r>
    </w:p>
    <w:p w14:paraId="27F28D44" w14:textId="77777777" w:rsidR="00630D75" w:rsidRPr="003542CB" w:rsidRDefault="00630D75" w:rsidP="00E3584D">
      <w:pPr>
        <w:spacing w:line="280" w:lineRule="atLeast"/>
        <w:jc w:val="both"/>
        <w:rPr>
          <w:rFonts w:cstheme="minorHAnsi"/>
          <w:color w:val="000000" w:themeColor="text1"/>
          <w:sz w:val="24"/>
          <w:szCs w:val="24"/>
        </w:rPr>
      </w:pPr>
    </w:p>
    <w:p w14:paraId="1F222520" w14:textId="5A40AABD" w:rsidR="00A12F62" w:rsidRPr="003542CB" w:rsidRDefault="00A12F62" w:rsidP="00001B70">
      <w:pPr>
        <w:pStyle w:val="Nadpis2"/>
        <w:spacing w:after="120" w:line="280" w:lineRule="atLeast"/>
        <w:rPr>
          <w:rFonts w:asciiTheme="minorHAnsi" w:hAnsiTheme="minorHAnsi" w:cstheme="minorHAnsi"/>
          <w:b/>
          <w:color w:val="000000" w:themeColor="text1"/>
        </w:rPr>
      </w:pPr>
      <w:bookmarkStart w:id="15" w:name="_Toc75366884"/>
      <w:r w:rsidRPr="003542CB">
        <w:rPr>
          <w:rFonts w:asciiTheme="minorHAnsi" w:hAnsiTheme="minorHAnsi" w:cstheme="minorHAnsi"/>
          <w:b/>
          <w:color w:val="000000" w:themeColor="text1"/>
        </w:rPr>
        <w:lastRenderedPageBreak/>
        <w:t xml:space="preserve">3.4. Výsledky </w:t>
      </w:r>
      <w:r w:rsidR="00E95A4E" w:rsidRPr="003542CB">
        <w:rPr>
          <w:rFonts w:asciiTheme="minorHAnsi" w:hAnsiTheme="minorHAnsi" w:cstheme="minorHAnsi"/>
          <w:b/>
          <w:color w:val="000000" w:themeColor="text1"/>
        </w:rPr>
        <w:t>Pojišťovny</w:t>
      </w:r>
      <w:r w:rsidRPr="003542CB">
        <w:rPr>
          <w:rFonts w:asciiTheme="minorHAnsi" w:hAnsiTheme="minorHAnsi" w:cstheme="minorHAnsi"/>
          <w:b/>
          <w:color w:val="000000" w:themeColor="text1"/>
        </w:rPr>
        <w:t xml:space="preserve"> </w:t>
      </w:r>
      <w:r w:rsidR="004E5171" w:rsidRPr="003542CB">
        <w:rPr>
          <w:rFonts w:asciiTheme="minorHAnsi" w:hAnsiTheme="minorHAnsi" w:cstheme="minorHAnsi"/>
          <w:b/>
          <w:color w:val="000000" w:themeColor="text1"/>
        </w:rPr>
        <w:t>za rok</w:t>
      </w:r>
      <w:r w:rsidRPr="003542CB">
        <w:rPr>
          <w:rFonts w:asciiTheme="minorHAnsi" w:hAnsiTheme="minorHAnsi" w:cstheme="minorHAnsi"/>
          <w:b/>
          <w:color w:val="000000" w:themeColor="text1"/>
        </w:rPr>
        <w:t xml:space="preserve"> 20</w:t>
      </w:r>
      <w:r w:rsidR="008D6A6C" w:rsidRPr="003542CB">
        <w:rPr>
          <w:rFonts w:asciiTheme="minorHAnsi" w:hAnsiTheme="minorHAnsi" w:cstheme="minorHAnsi"/>
          <w:b/>
          <w:color w:val="000000" w:themeColor="text1"/>
        </w:rPr>
        <w:t>20</w:t>
      </w:r>
      <w:r w:rsidR="00283117" w:rsidRPr="003542CB">
        <w:rPr>
          <w:rFonts w:asciiTheme="minorHAnsi" w:hAnsiTheme="minorHAnsi" w:cstheme="minorHAnsi"/>
          <w:b/>
          <w:color w:val="000000" w:themeColor="text1"/>
        </w:rPr>
        <w:t xml:space="preserve"> v oblasti upisování</w:t>
      </w:r>
      <w:r w:rsidR="002B41B8" w:rsidRPr="003542CB">
        <w:rPr>
          <w:rFonts w:asciiTheme="minorHAnsi" w:hAnsiTheme="minorHAnsi" w:cstheme="minorHAnsi"/>
          <w:b/>
          <w:color w:val="000000" w:themeColor="text1"/>
        </w:rPr>
        <w:t xml:space="preserve"> a očekávání pro rok 20</w:t>
      </w:r>
      <w:r w:rsidR="00D95051" w:rsidRPr="003542CB">
        <w:rPr>
          <w:rFonts w:asciiTheme="minorHAnsi" w:hAnsiTheme="minorHAnsi" w:cstheme="minorHAnsi"/>
          <w:b/>
          <w:color w:val="000000" w:themeColor="text1"/>
        </w:rPr>
        <w:t>2</w:t>
      </w:r>
      <w:r w:rsidR="008D6A6C" w:rsidRPr="003542CB">
        <w:rPr>
          <w:rFonts w:asciiTheme="minorHAnsi" w:hAnsiTheme="minorHAnsi" w:cstheme="minorHAnsi"/>
          <w:b/>
          <w:color w:val="000000" w:themeColor="text1"/>
        </w:rPr>
        <w:t>1</w:t>
      </w:r>
      <w:bookmarkEnd w:id="15"/>
    </w:p>
    <w:p w14:paraId="39B46D9F" w14:textId="619AD26F" w:rsidR="00AD59D8" w:rsidRPr="003542CB" w:rsidRDefault="00AD59D8" w:rsidP="00001B70">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Činnost a výsledky Pojišťovny v roce 2020 byly zásadně ovlivněny pandemií </w:t>
      </w:r>
      <w:proofErr w:type="spellStart"/>
      <w:r w:rsidRPr="003542CB">
        <w:rPr>
          <w:rFonts w:cstheme="minorHAnsi"/>
          <w:color w:val="000000" w:themeColor="text1"/>
          <w:sz w:val="24"/>
          <w:szCs w:val="24"/>
        </w:rPr>
        <w:t>koronaviru</w:t>
      </w:r>
      <w:proofErr w:type="spellEnd"/>
      <w:r w:rsidRPr="003542CB">
        <w:rPr>
          <w:rFonts w:cstheme="minorHAnsi"/>
          <w:color w:val="000000" w:themeColor="text1"/>
          <w:sz w:val="24"/>
          <w:szCs w:val="24"/>
        </w:rPr>
        <w:t>. Dopady pandemie a opatření zaváděná v boji s ní zasáhla téměř celou ekonomiku a cestovní ruch patří k jedněm z nejvíce zasažených odvětví, stejně jako cestovní pojištění.</w:t>
      </w:r>
    </w:p>
    <w:p w14:paraId="59DE4A6C" w14:textId="77777777" w:rsidR="00AD59D8" w:rsidRPr="003542CB" w:rsidRDefault="00AD59D8" w:rsidP="00001B70">
      <w:pPr>
        <w:spacing w:line="280" w:lineRule="atLeast"/>
        <w:jc w:val="both"/>
        <w:rPr>
          <w:rFonts w:cstheme="minorHAnsi"/>
          <w:color w:val="000000" w:themeColor="text1"/>
          <w:sz w:val="24"/>
          <w:szCs w:val="24"/>
        </w:rPr>
      </w:pPr>
      <w:r w:rsidRPr="003542CB">
        <w:rPr>
          <w:rFonts w:cstheme="minorHAnsi"/>
          <w:color w:val="000000" w:themeColor="text1"/>
          <w:sz w:val="24"/>
          <w:szCs w:val="24"/>
        </w:rPr>
        <w:t>Dopady pandemie přiměly Pojišťovnu k aktualizaci plánu pro rok 2020. Tato aktualizace byla schválena na jednání představenstva v září 2020.</w:t>
      </w:r>
    </w:p>
    <w:p w14:paraId="3FD9ED06" w14:textId="0B87C7F7" w:rsidR="00AD59D8" w:rsidRPr="003542CB" w:rsidRDefault="00AD59D8" w:rsidP="00001B70">
      <w:pPr>
        <w:spacing w:line="280" w:lineRule="atLeast"/>
        <w:jc w:val="both"/>
        <w:rPr>
          <w:rFonts w:cstheme="minorHAnsi"/>
          <w:color w:val="000000" w:themeColor="text1"/>
          <w:sz w:val="24"/>
          <w:szCs w:val="24"/>
        </w:rPr>
      </w:pPr>
      <w:r w:rsidRPr="003542CB">
        <w:rPr>
          <w:rFonts w:cstheme="minorHAnsi"/>
          <w:color w:val="000000" w:themeColor="text1"/>
          <w:sz w:val="24"/>
          <w:szCs w:val="24"/>
        </w:rPr>
        <w:t>Základní cíle pro oblast hospodaření Pojišťovny v roce 2020 dle aktualizovaného plánu hospodaření jsou popsány v tabulce č. 1, kde jsou porovnávány souhrnné roční výsledky za rok 2020 s plánovanými výsledky a také s předchozím obdobím. Zároveň je v posledním sloupci uvedený index porovnání dosažených výsledků s výsledky v předchozím období.</w:t>
      </w:r>
    </w:p>
    <w:p w14:paraId="1A3EE432" w14:textId="0A72E30B" w:rsidR="00F53EFD" w:rsidRPr="003542CB" w:rsidRDefault="00F53EFD" w:rsidP="00617F1A">
      <w:pPr>
        <w:spacing w:line="280" w:lineRule="atLeast"/>
        <w:jc w:val="both"/>
        <w:rPr>
          <w:rFonts w:cstheme="minorHAnsi"/>
          <w:color w:val="000000" w:themeColor="text1"/>
          <w:sz w:val="24"/>
          <w:szCs w:val="24"/>
        </w:rPr>
      </w:pPr>
      <w:r w:rsidRPr="003542CB">
        <w:rPr>
          <w:rFonts w:cstheme="minorHAnsi"/>
          <w:color w:val="000000" w:themeColor="text1"/>
          <w:sz w:val="24"/>
          <w:szCs w:val="24"/>
        </w:rPr>
        <w:t>Tab. č. 1 – Výsledky za rok 20</w:t>
      </w:r>
      <w:r w:rsidR="00AD59D8" w:rsidRPr="003542CB">
        <w:rPr>
          <w:rFonts w:cstheme="minorHAnsi"/>
          <w:color w:val="000000" w:themeColor="text1"/>
          <w:sz w:val="24"/>
          <w:szCs w:val="24"/>
        </w:rPr>
        <w:t>20</w:t>
      </w:r>
    </w:p>
    <w:tbl>
      <w:tblPr>
        <w:tblW w:w="9067" w:type="dxa"/>
        <w:jc w:val="center"/>
        <w:tblCellMar>
          <w:left w:w="70" w:type="dxa"/>
          <w:right w:w="70" w:type="dxa"/>
        </w:tblCellMar>
        <w:tblLook w:val="04A0" w:firstRow="1" w:lastRow="0" w:firstColumn="1" w:lastColumn="0" w:noHBand="0" w:noVBand="1"/>
      </w:tblPr>
      <w:tblGrid>
        <w:gridCol w:w="3975"/>
        <w:gridCol w:w="1265"/>
        <w:gridCol w:w="1134"/>
        <w:gridCol w:w="1134"/>
        <w:gridCol w:w="1559"/>
      </w:tblGrid>
      <w:tr w:rsidR="0060015E" w:rsidRPr="003542CB" w14:paraId="1E3BEBC5" w14:textId="77777777" w:rsidTr="00637780">
        <w:trPr>
          <w:trHeight w:val="82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B576" w14:textId="77777777" w:rsidR="0060015E" w:rsidRPr="003542CB" w:rsidRDefault="0060015E" w:rsidP="00E3584D">
            <w:pPr>
              <w:spacing w:after="0" w:line="280" w:lineRule="atLeast"/>
              <w:jc w:val="center"/>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ukazatel (v tis. Kč)</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D60333B" w14:textId="510CA0A5" w:rsidR="0060015E" w:rsidRPr="003542CB" w:rsidRDefault="0060015E" w:rsidP="00E3584D">
            <w:pPr>
              <w:spacing w:after="0" w:line="280" w:lineRule="atLeast"/>
              <w:jc w:val="center"/>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skutečnost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9A1D3A" w14:textId="77777777" w:rsidR="0060015E" w:rsidRPr="003542CB" w:rsidRDefault="0060015E" w:rsidP="00E3584D">
            <w:pPr>
              <w:spacing w:after="0" w:line="280" w:lineRule="atLeast"/>
              <w:jc w:val="center"/>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plán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5FF5CA" w14:textId="77777777" w:rsidR="0060015E" w:rsidRPr="003542CB" w:rsidRDefault="0060015E" w:rsidP="00E3584D">
            <w:pPr>
              <w:spacing w:after="0" w:line="280" w:lineRule="atLeast"/>
              <w:jc w:val="center"/>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skutečnost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65174F" w14:textId="77777777" w:rsidR="0060015E" w:rsidRPr="003542CB" w:rsidRDefault="0060015E" w:rsidP="00E3584D">
            <w:pPr>
              <w:spacing w:after="0" w:line="280" w:lineRule="atLeast"/>
              <w:jc w:val="center"/>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skutečnost 2020 / skutečnost 2019</w:t>
            </w:r>
          </w:p>
        </w:tc>
      </w:tr>
      <w:tr w:rsidR="0060015E" w:rsidRPr="003542CB" w14:paraId="43C7A2AD" w14:textId="77777777" w:rsidTr="007212F5">
        <w:trPr>
          <w:trHeight w:val="656"/>
          <w:jc w:val="center"/>
        </w:trPr>
        <w:tc>
          <w:tcPr>
            <w:tcW w:w="3975"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BD0B5A3" w14:textId="77777777" w:rsidR="0060015E" w:rsidRPr="003542CB" w:rsidRDefault="006001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VÝNOSY CELKEM</w:t>
            </w:r>
          </w:p>
        </w:tc>
        <w:tc>
          <w:tcPr>
            <w:tcW w:w="1265" w:type="dxa"/>
            <w:tcBorders>
              <w:top w:val="nil"/>
              <w:left w:val="nil"/>
              <w:bottom w:val="single" w:sz="4" w:space="0" w:color="auto"/>
              <w:right w:val="single" w:sz="4" w:space="0" w:color="auto"/>
            </w:tcBorders>
            <w:shd w:val="clear" w:color="auto" w:fill="FFF2CC" w:themeFill="accent4" w:themeFillTint="33"/>
            <w:noWrap/>
            <w:vAlign w:val="center"/>
            <w:hideMark/>
          </w:tcPr>
          <w:p w14:paraId="10D52817"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66 350</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14:paraId="5C6FAB95"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40 300</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14:paraId="431659EE"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42 661</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4B84E164"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0,64</w:t>
            </w:r>
          </w:p>
        </w:tc>
      </w:tr>
      <w:tr w:rsidR="0060015E" w:rsidRPr="003542CB" w14:paraId="3101B76B"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5CB8AF85"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Předepsané hrubé pojistné</w:t>
            </w:r>
          </w:p>
        </w:tc>
        <w:tc>
          <w:tcPr>
            <w:tcW w:w="1265" w:type="dxa"/>
            <w:tcBorders>
              <w:top w:val="nil"/>
              <w:left w:val="nil"/>
              <w:bottom w:val="single" w:sz="4" w:space="0" w:color="auto"/>
              <w:right w:val="single" w:sz="4" w:space="0" w:color="auto"/>
            </w:tcBorders>
            <w:shd w:val="clear" w:color="auto" w:fill="auto"/>
            <w:noWrap/>
            <w:vAlign w:val="center"/>
            <w:hideMark/>
          </w:tcPr>
          <w:p w14:paraId="34327801"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46 594</w:t>
            </w:r>
          </w:p>
        </w:tc>
        <w:tc>
          <w:tcPr>
            <w:tcW w:w="1134" w:type="dxa"/>
            <w:tcBorders>
              <w:top w:val="nil"/>
              <w:left w:val="nil"/>
              <w:bottom w:val="single" w:sz="4" w:space="0" w:color="auto"/>
              <w:right w:val="single" w:sz="4" w:space="0" w:color="auto"/>
            </w:tcBorders>
            <w:shd w:val="clear" w:color="auto" w:fill="auto"/>
            <w:noWrap/>
            <w:vAlign w:val="center"/>
            <w:hideMark/>
          </w:tcPr>
          <w:p w14:paraId="0F328D6A"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22 086</w:t>
            </w:r>
          </w:p>
        </w:tc>
        <w:tc>
          <w:tcPr>
            <w:tcW w:w="1134" w:type="dxa"/>
            <w:tcBorders>
              <w:top w:val="nil"/>
              <w:left w:val="nil"/>
              <w:bottom w:val="single" w:sz="4" w:space="0" w:color="auto"/>
              <w:right w:val="single" w:sz="4" w:space="0" w:color="auto"/>
            </w:tcBorders>
            <w:shd w:val="clear" w:color="auto" w:fill="auto"/>
            <w:noWrap/>
            <w:vAlign w:val="center"/>
            <w:hideMark/>
          </w:tcPr>
          <w:p w14:paraId="2167E730"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21 709</w:t>
            </w:r>
          </w:p>
        </w:tc>
        <w:tc>
          <w:tcPr>
            <w:tcW w:w="1559" w:type="dxa"/>
            <w:tcBorders>
              <w:top w:val="nil"/>
              <w:left w:val="nil"/>
              <w:bottom w:val="single" w:sz="4" w:space="0" w:color="auto"/>
              <w:right w:val="single" w:sz="4" w:space="0" w:color="auto"/>
            </w:tcBorders>
            <w:shd w:val="clear" w:color="auto" w:fill="auto"/>
            <w:noWrap/>
            <w:vAlign w:val="center"/>
            <w:hideMark/>
          </w:tcPr>
          <w:p w14:paraId="2A1CE173"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0,47</w:t>
            </w:r>
          </w:p>
        </w:tc>
      </w:tr>
      <w:tr w:rsidR="0060015E" w:rsidRPr="003542CB" w14:paraId="3DCA81AF"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9E65804"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Pojistné postoupené zajišťovatelům</w:t>
            </w:r>
          </w:p>
        </w:tc>
        <w:tc>
          <w:tcPr>
            <w:tcW w:w="1265" w:type="dxa"/>
            <w:tcBorders>
              <w:top w:val="nil"/>
              <w:left w:val="nil"/>
              <w:bottom w:val="single" w:sz="4" w:space="0" w:color="auto"/>
              <w:right w:val="single" w:sz="4" w:space="0" w:color="auto"/>
            </w:tcBorders>
            <w:shd w:val="clear" w:color="auto" w:fill="auto"/>
            <w:noWrap/>
            <w:vAlign w:val="center"/>
            <w:hideMark/>
          </w:tcPr>
          <w:p w14:paraId="04CB6A9F"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- 3 073</w:t>
            </w:r>
          </w:p>
        </w:tc>
        <w:tc>
          <w:tcPr>
            <w:tcW w:w="1134" w:type="dxa"/>
            <w:tcBorders>
              <w:top w:val="nil"/>
              <w:left w:val="nil"/>
              <w:bottom w:val="single" w:sz="4" w:space="0" w:color="auto"/>
              <w:right w:val="single" w:sz="4" w:space="0" w:color="auto"/>
            </w:tcBorders>
            <w:shd w:val="clear" w:color="auto" w:fill="auto"/>
            <w:noWrap/>
            <w:vAlign w:val="center"/>
            <w:hideMark/>
          </w:tcPr>
          <w:p w14:paraId="0AC60F16"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- 2 044</w:t>
            </w:r>
          </w:p>
        </w:tc>
        <w:tc>
          <w:tcPr>
            <w:tcW w:w="1134" w:type="dxa"/>
            <w:tcBorders>
              <w:top w:val="nil"/>
              <w:left w:val="nil"/>
              <w:bottom w:val="single" w:sz="4" w:space="0" w:color="auto"/>
              <w:right w:val="single" w:sz="4" w:space="0" w:color="auto"/>
            </w:tcBorders>
            <w:shd w:val="clear" w:color="auto" w:fill="auto"/>
            <w:noWrap/>
            <w:vAlign w:val="center"/>
            <w:hideMark/>
          </w:tcPr>
          <w:p w14:paraId="6B3D70BE"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- 1 604</w:t>
            </w:r>
          </w:p>
        </w:tc>
        <w:tc>
          <w:tcPr>
            <w:tcW w:w="1559" w:type="dxa"/>
            <w:tcBorders>
              <w:top w:val="nil"/>
              <w:left w:val="nil"/>
              <w:bottom w:val="single" w:sz="4" w:space="0" w:color="auto"/>
              <w:right w:val="single" w:sz="4" w:space="0" w:color="auto"/>
            </w:tcBorders>
            <w:shd w:val="clear" w:color="auto" w:fill="auto"/>
            <w:noWrap/>
            <w:vAlign w:val="center"/>
            <w:hideMark/>
          </w:tcPr>
          <w:p w14:paraId="2F1B1A3E"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0,52</w:t>
            </w:r>
          </w:p>
        </w:tc>
      </w:tr>
      <w:tr w:rsidR="0060015E" w:rsidRPr="003542CB" w14:paraId="56B91CB2"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1CDDE327"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Výnosy z finančního umístění</w:t>
            </w:r>
          </w:p>
        </w:tc>
        <w:tc>
          <w:tcPr>
            <w:tcW w:w="1265" w:type="dxa"/>
            <w:tcBorders>
              <w:top w:val="nil"/>
              <w:left w:val="nil"/>
              <w:bottom w:val="single" w:sz="4" w:space="0" w:color="auto"/>
              <w:right w:val="single" w:sz="4" w:space="0" w:color="auto"/>
            </w:tcBorders>
            <w:shd w:val="clear" w:color="auto" w:fill="auto"/>
            <w:noWrap/>
            <w:vAlign w:val="center"/>
            <w:hideMark/>
          </w:tcPr>
          <w:p w14:paraId="07601B13"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2 502</w:t>
            </w:r>
          </w:p>
        </w:tc>
        <w:tc>
          <w:tcPr>
            <w:tcW w:w="1134" w:type="dxa"/>
            <w:tcBorders>
              <w:top w:val="nil"/>
              <w:left w:val="nil"/>
              <w:bottom w:val="single" w:sz="4" w:space="0" w:color="auto"/>
              <w:right w:val="single" w:sz="4" w:space="0" w:color="auto"/>
            </w:tcBorders>
            <w:shd w:val="clear" w:color="auto" w:fill="auto"/>
            <w:noWrap/>
            <w:vAlign w:val="center"/>
            <w:hideMark/>
          </w:tcPr>
          <w:p w14:paraId="0CFB5B75"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2 775</w:t>
            </w:r>
          </w:p>
        </w:tc>
        <w:tc>
          <w:tcPr>
            <w:tcW w:w="1134" w:type="dxa"/>
            <w:tcBorders>
              <w:top w:val="nil"/>
              <w:left w:val="nil"/>
              <w:bottom w:val="single" w:sz="4" w:space="0" w:color="auto"/>
              <w:right w:val="single" w:sz="4" w:space="0" w:color="auto"/>
            </w:tcBorders>
            <w:shd w:val="clear" w:color="auto" w:fill="auto"/>
            <w:noWrap/>
            <w:vAlign w:val="center"/>
            <w:hideMark/>
          </w:tcPr>
          <w:p w14:paraId="21F049C8"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2 764</w:t>
            </w:r>
          </w:p>
        </w:tc>
        <w:tc>
          <w:tcPr>
            <w:tcW w:w="1559" w:type="dxa"/>
            <w:tcBorders>
              <w:top w:val="nil"/>
              <w:left w:val="nil"/>
              <w:bottom w:val="single" w:sz="4" w:space="0" w:color="auto"/>
              <w:right w:val="single" w:sz="4" w:space="0" w:color="auto"/>
            </w:tcBorders>
            <w:shd w:val="clear" w:color="auto" w:fill="auto"/>
            <w:noWrap/>
            <w:vAlign w:val="center"/>
            <w:hideMark/>
          </w:tcPr>
          <w:p w14:paraId="1A4B52ED"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1,10</w:t>
            </w:r>
          </w:p>
        </w:tc>
      </w:tr>
      <w:tr w:rsidR="0060015E" w:rsidRPr="003542CB" w14:paraId="52720B2B"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168EC743"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Čerpání pojistných rezerv</w:t>
            </w:r>
          </w:p>
        </w:tc>
        <w:tc>
          <w:tcPr>
            <w:tcW w:w="1265" w:type="dxa"/>
            <w:tcBorders>
              <w:top w:val="nil"/>
              <w:left w:val="nil"/>
              <w:bottom w:val="single" w:sz="4" w:space="0" w:color="auto"/>
              <w:right w:val="single" w:sz="4" w:space="0" w:color="auto"/>
            </w:tcBorders>
            <w:shd w:val="clear" w:color="auto" w:fill="auto"/>
            <w:noWrap/>
            <w:vAlign w:val="center"/>
            <w:hideMark/>
          </w:tcPr>
          <w:p w14:paraId="7E7F0CB5"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17 437</w:t>
            </w:r>
          </w:p>
        </w:tc>
        <w:tc>
          <w:tcPr>
            <w:tcW w:w="1134" w:type="dxa"/>
            <w:tcBorders>
              <w:top w:val="nil"/>
              <w:left w:val="nil"/>
              <w:bottom w:val="single" w:sz="4" w:space="0" w:color="auto"/>
              <w:right w:val="single" w:sz="4" w:space="0" w:color="auto"/>
            </w:tcBorders>
            <w:shd w:val="clear" w:color="auto" w:fill="auto"/>
            <w:noWrap/>
            <w:vAlign w:val="center"/>
            <w:hideMark/>
          </w:tcPr>
          <w:p w14:paraId="6B1784DF"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13 783</w:t>
            </w:r>
          </w:p>
        </w:tc>
        <w:tc>
          <w:tcPr>
            <w:tcW w:w="1134" w:type="dxa"/>
            <w:tcBorders>
              <w:top w:val="nil"/>
              <w:left w:val="nil"/>
              <w:bottom w:val="single" w:sz="4" w:space="0" w:color="auto"/>
              <w:right w:val="single" w:sz="4" w:space="0" w:color="auto"/>
            </w:tcBorders>
            <w:shd w:val="clear" w:color="auto" w:fill="auto"/>
            <w:noWrap/>
            <w:vAlign w:val="center"/>
            <w:hideMark/>
          </w:tcPr>
          <w:p w14:paraId="00514871"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15 938</w:t>
            </w:r>
          </w:p>
        </w:tc>
        <w:tc>
          <w:tcPr>
            <w:tcW w:w="1559" w:type="dxa"/>
            <w:tcBorders>
              <w:top w:val="nil"/>
              <w:left w:val="nil"/>
              <w:bottom w:val="single" w:sz="4" w:space="0" w:color="auto"/>
              <w:right w:val="single" w:sz="4" w:space="0" w:color="auto"/>
            </w:tcBorders>
            <w:shd w:val="clear" w:color="auto" w:fill="auto"/>
            <w:noWrap/>
            <w:vAlign w:val="center"/>
            <w:hideMark/>
          </w:tcPr>
          <w:p w14:paraId="4954BA0B"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0,91</w:t>
            </w:r>
          </w:p>
        </w:tc>
      </w:tr>
      <w:tr w:rsidR="0060015E" w:rsidRPr="003542CB" w14:paraId="24647054"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7C234A4F"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Ostatní technické a netechnické výnosy</w:t>
            </w:r>
          </w:p>
        </w:tc>
        <w:tc>
          <w:tcPr>
            <w:tcW w:w="1265" w:type="dxa"/>
            <w:tcBorders>
              <w:top w:val="nil"/>
              <w:left w:val="nil"/>
              <w:bottom w:val="single" w:sz="4" w:space="0" w:color="auto"/>
              <w:right w:val="single" w:sz="4" w:space="0" w:color="auto"/>
            </w:tcBorders>
            <w:shd w:val="clear" w:color="auto" w:fill="auto"/>
            <w:noWrap/>
            <w:vAlign w:val="center"/>
            <w:hideMark/>
          </w:tcPr>
          <w:p w14:paraId="70E6A2CC"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2 890</w:t>
            </w:r>
          </w:p>
        </w:tc>
        <w:tc>
          <w:tcPr>
            <w:tcW w:w="1134" w:type="dxa"/>
            <w:tcBorders>
              <w:top w:val="nil"/>
              <w:left w:val="nil"/>
              <w:bottom w:val="single" w:sz="4" w:space="0" w:color="auto"/>
              <w:right w:val="single" w:sz="4" w:space="0" w:color="auto"/>
            </w:tcBorders>
            <w:shd w:val="clear" w:color="auto" w:fill="auto"/>
            <w:noWrap/>
            <w:vAlign w:val="center"/>
            <w:hideMark/>
          </w:tcPr>
          <w:p w14:paraId="5B004DBD"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3 700</w:t>
            </w:r>
          </w:p>
        </w:tc>
        <w:tc>
          <w:tcPr>
            <w:tcW w:w="1134" w:type="dxa"/>
            <w:tcBorders>
              <w:top w:val="nil"/>
              <w:left w:val="nil"/>
              <w:bottom w:val="single" w:sz="4" w:space="0" w:color="auto"/>
              <w:right w:val="single" w:sz="4" w:space="0" w:color="auto"/>
            </w:tcBorders>
            <w:shd w:val="clear" w:color="auto" w:fill="auto"/>
            <w:noWrap/>
            <w:vAlign w:val="center"/>
            <w:hideMark/>
          </w:tcPr>
          <w:p w14:paraId="35B33F93"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3 854</w:t>
            </w:r>
          </w:p>
        </w:tc>
        <w:tc>
          <w:tcPr>
            <w:tcW w:w="1559" w:type="dxa"/>
            <w:tcBorders>
              <w:top w:val="nil"/>
              <w:left w:val="nil"/>
              <w:bottom w:val="single" w:sz="4" w:space="0" w:color="auto"/>
              <w:right w:val="single" w:sz="4" w:space="0" w:color="auto"/>
            </w:tcBorders>
            <w:shd w:val="clear" w:color="auto" w:fill="auto"/>
            <w:noWrap/>
            <w:vAlign w:val="center"/>
            <w:hideMark/>
          </w:tcPr>
          <w:p w14:paraId="389AC42B"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1,33</w:t>
            </w:r>
          </w:p>
        </w:tc>
      </w:tr>
      <w:tr w:rsidR="0060015E" w:rsidRPr="003542CB" w14:paraId="5FAE8F59"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C35FDAA" w14:textId="77777777" w:rsidR="0060015E" w:rsidRPr="003542CB" w:rsidRDefault="006001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NÁKLADY CELKEM</w:t>
            </w:r>
          </w:p>
        </w:tc>
        <w:tc>
          <w:tcPr>
            <w:tcW w:w="1265" w:type="dxa"/>
            <w:tcBorders>
              <w:top w:val="nil"/>
              <w:left w:val="nil"/>
              <w:bottom w:val="single" w:sz="4" w:space="0" w:color="auto"/>
              <w:right w:val="single" w:sz="4" w:space="0" w:color="auto"/>
            </w:tcBorders>
            <w:shd w:val="clear" w:color="auto" w:fill="E2EFD9" w:themeFill="accent6" w:themeFillTint="33"/>
            <w:noWrap/>
            <w:vAlign w:val="center"/>
            <w:hideMark/>
          </w:tcPr>
          <w:p w14:paraId="7E51309B"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57 334</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BC29FF3" w14:textId="77777777" w:rsidR="0060015E" w:rsidRPr="003542CB" w:rsidRDefault="0060015E" w:rsidP="00E3584D">
            <w:pPr>
              <w:spacing w:after="0" w:line="280" w:lineRule="atLeast"/>
              <w:jc w:val="right"/>
              <w:rPr>
                <w:rFonts w:cstheme="minorHAnsi"/>
                <w:b/>
                <w:color w:val="000000" w:themeColor="text1"/>
                <w:sz w:val="20"/>
                <w:szCs w:val="20"/>
              </w:rPr>
            </w:pPr>
            <w:r w:rsidRPr="003542CB">
              <w:rPr>
                <w:rFonts w:cstheme="minorHAnsi"/>
                <w:b/>
                <w:color w:val="000000" w:themeColor="text1"/>
                <w:sz w:val="20"/>
                <w:szCs w:val="20"/>
              </w:rPr>
              <w:t>40 309</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47EE7A6"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bCs/>
                <w:color w:val="000000"/>
                <w:sz w:val="20"/>
                <w:szCs w:val="20"/>
              </w:rPr>
              <w:t>39 464</w:t>
            </w:r>
          </w:p>
        </w:tc>
        <w:tc>
          <w:tcPr>
            <w:tcW w:w="1559" w:type="dxa"/>
            <w:tcBorders>
              <w:top w:val="nil"/>
              <w:left w:val="nil"/>
              <w:bottom w:val="single" w:sz="4" w:space="0" w:color="auto"/>
              <w:right w:val="single" w:sz="4" w:space="0" w:color="auto"/>
            </w:tcBorders>
            <w:shd w:val="clear" w:color="auto" w:fill="E2EFD9" w:themeFill="accent6" w:themeFillTint="33"/>
            <w:noWrap/>
            <w:vAlign w:val="center"/>
            <w:hideMark/>
          </w:tcPr>
          <w:p w14:paraId="538991E3"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0,69</w:t>
            </w:r>
          </w:p>
        </w:tc>
      </w:tr>
      <w:tr w:rsidR="0060015E" w:rsidRPr="003542CB" w14:paraId="52F48B34"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46BE3A06"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 xml:space="preserve">Pojistná </w:t>
            </w:r>
            <w:proofErr w:type="gramStart"/>
            <w:r w:rsidRPr="003542CB">
              <w:rPr>
                <w:rFonts w:eastAsia="Times New Roman" w:cstheme="minorHAnsi"/>
                <w:b/>
                <w:bCs/>
                <w:i/>
                <w:iCs/>
                <w:color w:val="000000" w:themeColor="text1"/>
                <w:sz w:val="20"/>
                <w:szCs w:val="20"/>
                <w:lang w:eastAsia="cs-CZ"/>
              </w:rPr>
              <w:t>plnění - čistá</w:t>
            </w:r>
            <w:proofErr w:type="gramEnd"/>
            <w:r w:rsidRPr="003542CB">
              <w:rPr>
                <w:rFonts w:eastAsia="Times New Roman" w:cstheme="minorHAnsi"/>
                <w:b/>
                <w:bCs/>
                <w:i/>
                <w:iCs/>
                <w:color w:val="000000" w:themeColor="text1"/>
                <w:sz w:val="20"/>
                <w:szCs w:val="20"/>
                <w:lang w:eastAsia="cs-CZ"/>
              </w:rPr>
              <w:t xml:space="preserve"> výše</w:t>
            </w:r>
          </w:p>
        </w:tc>
        <w:tc>
          <w:tcPr>
            <w:tcW w:w="1265" w:type="dxa"/>
            <w:tcBorders>
              <w:top w:val="nil"/>
              <w:left w:val="nil"/>
              <w:bottom w:val="single" w:sz="4" w:space="0" w:color="auto"/>
              <w:right w:val="single" w:sz="4" w:space="0" w:color="auto"/>
            </w:tcBorders>
            <w:shd w:val="clear" w:color="auto" w:fill="auto"/>
            <w:noWrap/>
            <w:vAlign w:val="center"/>
            <w:hideMark/>
          </w:tcPr>
          <w:p w14:paraId="0AC4D937"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9 095</w:t>
            </w:r>
          </w:p>
        </w:tc>
        <w:tc>
          <w:tcPr>
            <w:tcW w:w="1134" w:type="dxa"/>
            <w:tcBorders>
              <w:top w:val="nil"/>
              <w:left w:val="nil"/>
              <w:bottom w:val="single" w:sz="4" w:space="0" w:color="auto"/>
              <w:right w:val="single" w:sz="4" w:space="0" w:color="auto"/>
            </w:tcBorders>
            <w:shd w:val="clear" w:color="auto" w:fill="auto"/>
            <w:noWrap/>
            <w:vAlign w:val="bottom"/>
            <w:hideMark/>
          </w:tcPr>
          <w:p w14:paraId="3CCDCF13"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4 703</w:t>
            </w:r>
          </w:p>
        </w:tc>
        <w:tc>
          <w:tcPr>
            <w:tcW w:w="1134" w:type="dxa"/>
            <w:tcBorders>
              <w:top w:val="nil"/>
              <w:left w:val="nil"/>
              <w:bottom w:val="single" w:sz="4" w:space="0" w:color="auto"/>
              <w:right w:val="single" w:sz="4" w:space="0" w:color="auto"/>
            </w:tcBorders>
            <w:shd w:val="clear" w:color="auto" w:fill="auto"/>
            <w:noWrap/>
            <w:vAlign w:val="bottom"/>
            <w:hideMark/>
          </w:tcPr>
          <w:p w14:paraId="3E8DD94E"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4 867</w:t>
            </w:r>
          </w:p>
        </w:tc>
        <w:tc>
          <w:tcPr>
            <w:tcW w:w="1559" w:type="dxa"/>
            <w:tcBorders>
              <w:top w:val="nil"/>
              <w:left w:val="nil"/>
              <w:bottom w:val="single" w:sz="4" w:space="0" w:color="auto"/>
              <w:right w:val="single" w:sz="4" w:space="0" w:color="auto"/>
            </w:tcBorders>
            <w:shd w:val="clear" w:color="auto" w:fill="auto"/>
            <w:noWrap/>
            <w:vAlign w:val="center"/>
            <w:hideMark/>
          </w:tcPr>
          <w:p w14:paraId="62D65129"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0,54</w:t>
            </w:r>
          </w:p>
        </w:tc>
      </w:tr>
      <w:tr w:rsidR="0060015E" w:rsidRPr="003542CB" w14:paraId="13F46E5A"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A8D26A8"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Tvorba pojistných rezerv</w:t>
            </w:r>
          </w:p>
        </w:tc>
        <w:tc>
          <w:tcPr>
            <w:tcW w:w="1265" w:type="dxa"/>
            <w:tcBorders>
              <w:top w:val="nil"/>
              <w:left w:val="nil"/>
              <w:bottom w:val="single" w:sz="4" w:space="0" w:color="auto"/>
              <w:right w:val="single" w:sz="4" w:space="0" w:color="auto"/>
            </w:tcBorders>
            <w:shd w:val="clear" w:color="auto" w:fill="auto"/>
            <w:noWrap/>
            <w:vAlign w:val="center"/>
            <w:hideMark/>
          </w:tcPr>
          <w:p w14:paraId="6410A98F"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19 947</w:t>
            </w:r>
          </w:p>
        </w:tc>
        <w:tc>
          <w:tcPr>
            <w:tcW w:w="1134" w:type="dxa"/>
            <w:tcBorders>
              <w:top w:val="nil"/>
              <w:left w:val="nil"/>
              <w:bottom w:val="single" w:sz="4" w:space="0" w:color="auto"/>
              <w:right w:val="single" w:sz="4" w:space="0" w:color="auto"/>
            </w:tcBorders>
            <w:shd w:val="clear" w:color="auto" w:fill="auto"/>
            <w:noWrap/>
            <w:vAlign w:val="bottom"/>
            <w:hideMark/>
          </w:tcPr>
          <w:p w14:paraId="6E45CB6E"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10 136</w:t>
            </w:r>
          </w:p>
        </w:tc>
        <w:tc>
          <w:tcPr>
            <w:tcW w:w="1134" w:type="dxa"/>
            <w:tcBorders>
              <w:top w:val="nil"/>
              <w:left w:val="nil"/>
              <w:bottom w:val="single" w:sz="4" w:space="0" w:color="auto"/>
              <w:right w:val="single" w:sz="4" w:space="0" w:color="auto"/>
            </w:tcBorders>
            <w:shd w:val="clear" w:color="auto" w:fill="auto"/>
            <w:noWrap/>
            <w:vAlign w:val="bottom"/>
            <w:hideMark/>
          </w:tcPr>
          <w:p w14:paraId="069A3E2A"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10 867</w:t>
            </w:r>
          </w:p>
        </w:tc>
        <w:tc>
          <w:tcPr>
            <w:tcW w:w="1559" w:type="dxa"/>
            <w:tcBorders>
              <w:top w:val="nil"/>
              <w:left w:val="nil"/>
              <w:bottom w:val="single" w:sz="4" w:space="0" w:color="auto"/>
              <w:right w:val="single" w:sz="4" w:space="0" w:color="auto"/>
            </w:tcBorders>
            <w:shd w:val="clear" w:color="auto" w:fill="auto"/>
            <w:noWrap/>
            <w:vAlign w:val="center"/>
            <w:hideMark/>
          </w:tcPr>
          <w:p w14:paraId="664F86D4"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0,54</w:t>
            </w:r>
          </w:p>
        </w:tc>
      </w:tr>
      <w:tr w:rsidR="0060015E" w:rsidRPr="003542CB" w14:paraId="7828BE6A"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33A256D"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Náklady na finanční umístění</w:t>
            </w:r>
          </w:p>
        </w:tc>
        <w:tc>
          <w:tcPr>
            <w:tcW w:w="1265" w:type="dxa"/>
            <w:tcBorders>
              <w:top w:val="nil"/>
              <w:left w:val="nil"/>
              <w:bottom w:val="single" w:sz="4" w:space="0" w:color="auto"/>
              <w:right w:val="single" w:sz="4" w:space="0" w:color="auto"/>
            </w:tcBorders>
            <w:shd w:val="clear" w:color="auto" w:fill="auto"/>
            <w:noWrap/>
            <w:vAlign w:val="center"/>
            <w:hideMark/>
          </w:tcPr>
          <w:p w14:paraId="08BA78F4"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717</w:t>
            </w:r>
          </w:p>
        </w:tc>
        <w:tc>
          <w:tcPr>
            <w:tcW w:w="1134" w:type="dxa"/>
            <w:tcBorders>
              <w:top w:val="nil"/>
              <w:left w:val="nil"/>
              <w:bottom w:val="single" w:sz="4" w:space="0" w:color="auto"/>
              <w:right w:val="single" w:sz="4" w:space="0" w:color="auto"/>
            </w:tcBorders>
            <w:shd w:val="clear" w:color="auto" w:fill="auto"/>
            <w:noWrap/>
            <w:vAlign w:val="bottom"/>
            <w:hideMark/>
          </w:tcPr>
          <w:p w14:paraId="74BEDE83"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596B386E"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429</w:t>
            </w:r>
          </w:p>
        </w:tc>
        <w:tc>
          <w:tcPr>
            <w:tcW w:w="1559" w:type="dxa"/>
            <w:tcBorders>
              <w:top w:val="nil"/>
              <w:left w:val="nil"/>
              <w:bottom w:val="single" w:sz="4" w:space="0" w:color="auto"/>
              <w:right w:val="single" w:sz="4" w:space="0" w:color="auto"/>
            </w:tcBorders>
            <w:shd w:val="clear" w:color="auto" w:fill="auto"/>
            <w:noWrap/>
            <w:vAlign w:val="center"/>
            <w:hideMark/>
          </w:tcPr>
          <w:p w14:paraId="0160C315"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0,60</w:t>
            </w:r>
          </w:p>
        </w:tc>
      </w:tr>
      <w:tr w:rsidR="0060015E" w:rsidRPr="003542CB" w14:paraId="50C6EE94"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4E1DD4C8"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Pořizovací náklady na poj. smlouvy</w:t>
            </w:r>
          </w:p>
        </w:tc>
        <w:tc>
          <w:tcPr>
            <w:tcW w:w="1265" w:type="dxa"/>
            <w:tcBorders>
              <w:top w:val="nil"/>
              <w:left w:val="nil"/>
              <w:bottom w:val="single" w:sz="4" w:space="0" w:color="auto"/>
              <w:right w:val="single" w:sz="4" w:space="0" w:color="auto"/>
            </w:tcBorders>
            <w:shd w:val="clear" w:color="auto" w:fill="auto"/>
            <w:noWrap/>
            <w:vAlign w:val="center"/>
            <w:hideMark/>
          </w:tcPr>
          <w:p w14:paraId="6978CDCD"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3 159</w:t>
            </w:r>
          </w:p>
        </w:tc>
        <w:tc>
          <w:tcPr>
            <w:tcW w:w="1134" w:type="dxa"/>
            <w:tcBorders>
              <w:top w:val="nil"/>
              <w:left w:val="nil"/>
              <w:bottom w:val="single" w:sz="4" w:space="0" w:color="auto"/>
              <w:right w:val="single" w:sz="4" w:space="0" w:color="auto"/>
            </w:tcBorders>
            <w:shd w:val="clear" w:color="auto" w:fill="auto"/>
            <w:noWrap/>
            <w:vAlign w:val="bottom"/>
            <w:hideMark/>
          </w:tcPr>
          <w:p w14:paraId="5A7C26CF"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1 390</w:t>
            </w:r>
          </w:p>
        </w:tc>
        <w:tc>
          <w:tcPr>
            <w:tcW w:w="1134" w:type="dxa"/>
            <w:tcBorders>
              <w:top w:val="nil"/>
              <w:left w:val="nil"/>
              <w:bottom w:val="single" w:sz="4" w:space="0" w:color="auto"/>
              <w:right w:val="single" w:sz="4" w:space="0" w:color="auto"/>
            </w:tcBorders>
            <w:shd w:val="clear" w:color="auto" w:fill="auto"/>
            <w:noWrap/>
            <w:vAlign w:val="bottom"/>
            <w:hideMark/>
          </w:tcPr>
          <w:p w14:paraId="67E9BE45"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1 535</w:t>
            </w:r>
          </w:p>
        </w:tc>
        <w:tc>
          <w:tcPr>
            <w:tcW w:w="1559" w:type="dxa"/>
            <w:tcBorders>
              <w:top w:val="nil"/>
              <w:left w:val="nil"/>
              <w:bottom w:val="single" w:sz="4" w:space="0" w:color="auto"/>
              <w:right w:val="single" w:sz="4" w:space="0" w:color="auto"/>
            </w:tcBorders>
            <w:shd w:val="clear" w:color="auto" w:fill="auto"/>
            <w:noWrap/>
            <w:vAlign w:val="center"/>
            <w:hideMark/>
          </w:tcPr>
          <w:p w14:paraId="0D354C90"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0,49</w:t>
            </w:r>
          </w:p>
        </w:tc>
      </w:tr>
      <w:tr w:rsidR="0060015E" w:rsidRPr="003542CB" w14:paraId="373DCD6B"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7ABB7B6E"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Správní režie</w:t>
            </w:r>
          </w:p>
        </w:tc>
        <w:tc>
          <w:tcPr>
            <w:tcW w:w="1265" w:type="dxa"/>
            <w:tcBorders>
              <w:top w:val="nil"/>
              <w:left w:val="nil"/>
              <w:bottom w:val="single" w:sz="4" w:space="0" w:color="auto"/>
              <w:right w:val="single" w:sz="4" w:space="0" w:color="auto"/>
            </w:tcBorders>
            <w:shd w:val="clear" w:color="auto" w:fill="auto"/>
            <w:noWrap/>
            <w:vAlign w:val="center"/>
            <w:hideMark/>
          </w:tcPr>
          <w:p w14:paraId="057B18BC"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20 935</w:t>
            </w:r>
          </w:p>
        </w:tc>
        <w:tc>
          <w:tcPr>
            <w:tcW w:w="1134" w:type="dxa"/>
            <w:tcBorders>
              <w:top w:val="nil"/>
              <w:left w:val="nil"/>
              <w:bottom w:val="single" w:sz="4" w:space="0" w:color="auto"/>
              <w:right w:val="single" w:sz="4" w:space="0" w:color="auto"/>
            </w:tcBorders>
            <w:shd w:val="clear" w:color="auto" w:fill="auto"/>
            <w:noWrap/>
            <w:vAlign w:val="bottom"/>
            <w:hideMark/>
          </w:tcPr>
          <w:p w14:paraId="5E709BD1"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20 150</w:t>
            </w:r>
          </w:p>
        </w:tc>
        <w:tc>
          <w:tcPr>
            <w:tcW w:w="1134" w:type="dxa"/>
            <w:tcBorders>
              <w:top w:val="nil"/>
              <w:left w:val="nil"/>
              <w:bottom w:val="single" w:sz="4" w:space="0" w:color="auto"/>
              <w:right w:val="single" w:sz="4" w:space="0" w:color="auto"/>
            </w:tcBorders>
            <w:shd w:val="clear" w:color="auto" w:fill="auto"/>
            <w:noWrap/>
            <w:vAlign w:val="bottom"/>
            <w:hideMark/>
          </w:tcPr>
          <w:p w14:paraId="2116919F"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18 568</w:t>
            </w:r>
          </w:p>
        </w:tc>
        <w:tc>
          <w:tcPr>
            <w:tcW w:w="1559" w:type="dxa"/>
            <w:tcBorders>
              <w:top w:val="nil"/>
              <w:left w:val="nil"/>
              <w:bottom w:val="single" w:sz="4" w:space="0" w:color="auto"/>
              <w:right w:val="single" w:sz="4" w:space="0" w:color="auto"/>
            </w:tcBorders>
            <w:shd w:val="clear" w:color="auto" w:fill="auto"/>
            <w:noWrap/>
            <w:vAlign w:val="center"/>
            <w:hideMark/>
          </w:tcPr>
          <w:p w14:paraId="79DD3B6D"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0,89</w:t>
            </w:r>
          </w:p>
        </w:tc>
      </w:tr>
      <w:tr w:rsidR="0060015E" w:rsidRPr="003542CB" w14:paraId="3661A7D7"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58FE4F6C" w14:textId="77777777" w:rsidR="0060015E" w:rsidRPr="003542CB" w:rsidRDefault="0060015E" w:rsidP="00E3584D">
            <w:pPr>
              <w:spacing w:after="0" w:line="280" w:lineRule="atLeast"/>
              <w:rPr>
                <w:rFonts w:eastAsia="Times New Roman" w:cstheme="minorHAnsi"/>
                <w:b/>
                <w:bCs/>
                <w:i/>
                <w:iCs/>
                <w:color w:val="000000" w:themeColor="text1"/>
                <w:sz w:val="20"/>
                <w:szCs w:val="20"/>
                <w:lang w:eastAsia="cs-CZ"/>
              </w:rPr>
            </w:pPr>
            <w:r w:rsidRPr="003542CB">
              <w:rPr>
                <w:rFonts w:eastAsia="Times New Roman" w:cstheme="minorHAnsi"/>
                <w:b/>
                <w:bCs/>
                <w:i/>
                <w:iCs/>
                <w:color w:val="000000" w:themeColor="text1"/>
                <w:sz w:val="20"/>
                <w:szCs w:val="20"/>
                <w:lang w:eastAsia="cs-CZ"/>
              </w:rPr>
              <w:t>Ostatní technické a netechnické náklady</w:t>
            </w:r>
          </w:p>
        </w:tc>
        <w:tc>
          <w:tcPr>
            <w:tcW w:w="1265" w:type="dxa"/>
            <w:tcBorders>
              <w:top w:val="nil"/>
              <w:left w:val="nil"/>
              <w:bottom w:val="single" w:sz="4" w:space="0" w:color="auto"/>
              <w:right w:val="single" w:sz="4" w:space="0" w:color="auto"/>
            </w:tcBorders>
            <w:shd w:val="clear" w:color="auto" w:fill="auto"/>
            <w:noWrap/>
            <w:vAlign w:val="center"/>
            <w:hideMark/>
          </w:tcPr>
          <w:p w14:paraId="2F39BC00"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3 481</w:t>
            </w:r>
          </w:p>
        </w:tc>
        <w:tc>
          <w:tcPr>
            <w:tcW w:w="1134" w:type="dxa"/>
            <w:tcBorders>
              <w:top w:val="nil"/>
              <w:left w:val="nil"/>
              <w:bottom w:val="single" w:sz="4" w:space="0" w:color="auto"/>
              <w:right w:val="single" w:sz="4" w:space="0" w:color="auto"/>
            </w:tcBorders>
            <w:shd w:val="clear" w:color="auto" w:fill="auto"/>
            <w:noWrap/>
            <w:vAlign w:val="center"/>
            <w:hideMark/>
          </w:tcPr>
          <w:p w14:paraId="54EE16B4" w14:textId="77777777" w:rsidR="0060015E" w:rsidRPr="003542CB" w:rsidRDefault="0060015E" w:rsidP="00E3584D">
            <w:pPr>
              <w:spacing w:after="0" w:line="280" w:lineRule="atLeast"/>
              <w:jc w:val="right"/>
              <w:rPr>
                <w:rFonts w:cstheme="minorHAnsi"/>
                <w:color w:val="000000" w:themeColor="text1"/>
                <w:sz w:val="20"/>
                <w:szCs w:val="20"/>
              </w:rPr>
            </w:pPr>
            <w:r w:rsidRPr="003542CB">
              <w:rPr>
                <w:rFonts w:cstheme="minorHAnsi"/>
                <w:color w:val="000000" w:themeColor="text1"/>
                <w:sz w:val="20"/>
                <w:szCs w:val="20"/>
              </w:rPr>
              <w:t>3 500</w:t>
            </w:r>
          </w:p>
        </w:tc>
        <w:tc>
          <w:tcPr>
            <w:tcW w:w="1134" w:type="dxa"/>
            <w:tcBorders>
              <w:top w:val="nil"/>
              <w:left w:val="nil"/>
              <w:bottom w:val="single" w:sz="4" w:space="0" w:color="auto"/>
              <w:right w:val="single" w:sz="4" w:space="0" w:color="auto"/>
            </w:tcBorders>
            <w:shd w:val="clear" w:color="auto" w:fill="auto"/>
            <w:noWrap/>
            <w:vAlign w:val="center"/>
            <w:hideMark/>
          </w:tcPr>
          <w:p w14:paraId="4CE9D4E7"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3 198</w:t>
            </w:r>
          </w:p>
        </w:tc>
        <w:tc>
          <w:tcPr>
            <w:tcW w:w="1559" w:type="dxa"/>
            <w:tcBorders>
              <w:top w:val="nil"/>
              <w:left w:val="nil"/>
              <w:bottom w:val="single" w:sz="4" w:space="0" w:color="auto"/>
              <w:right w:val="single" w:sz="4" w:space="0" w:color="auto"/>
            </w:tcBorders>
            <w:shd w:val="clear" w:color="auto" w:fill="auto"/>
            <w:noWrap/>
            <w:vAlign w:val="center"/>
            <w:hideMark/>
          </w:tcPr>
          <w:p w14:paraId="41996FC5" w14:textId="77777777" w:rsidR="0060015E" w:rsidRPr="003542CB" w:rsidRDefault="0060015E" w:rsidP="00E3584D">
            <w:pPr>
              <w:spacing w:after="0" w:line="280" w:lineRule="atLeast"/>
              <w:jc w:val="right"/>
              <w:rPr>
                <w:rFonts w:eastAsia="Times New Roman" w:cstheme="minorHAnsi"/>
                <w:i/>
                <w:iCs/>
                <w:color w:val="000000" w:themeColor="text1"/>
                <w:sz w:val="20"/>
                <w:szCs w:val="20"/>
                <w:lang w:eastAsia="cs-CZ"/>
              </w:rPr>
            </w:pPr>
            <w:r w:rsidRPr="003542CB">
              <w:rPr>
                <w:rFonts w:cstheme="minorHAnsi"/>
                <w:color w:val="000000" w:themeColor="text1"/>
                <w:sz w:val="20"/>
                <w:szCs w:val="20"/>
              </w:rPr>
              <w:t>0,92</w:t>
            </w:r>
          </w:p>
        </w:tc>
      </w:tr>
      <w:tr w:rsidR="0060015E" w:rsidRPr="003542CB" w14:paraId="21EC1EB3" w14:textId="77777777" w:rsidTr="007212F5">
        <w:trPr>
          <w:trHeight w:val="300"/>
          <w:jc w:val="center"/>
        </w:trPr>
        <w:tc>
          <w:tcPr>
            <w:tcW w:w="397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B70C3B0" w14:textId="77777777" w:rsidR="0060015E" w:rsidRPr="003542CB" w:rsidRDefault="006001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HOSPODÁŘSKÝ VÝSLEDEK</w:t>
            </w:r>
          </w:p>
        </w:tc>
        <w:tc>
          <w:tcPr>
            <w:tcW w:w="1265" w:type="dxa"/>
            <w:tcBorders>
              <w:top w:val="nil"/>
              <w:left w:val="nil"/>
              <w:bottom w:val="single" w:sz="4" w:space="0" w:color="auto"/>
              <w:right w:val="single" w:sz="4" w:space="0" w:color="auto"/>
            </w:tcBorders>
            <w:shd w:val="clear" w:color="auto" w:fill="DEEAF6" w:themeFill="accent1" w:themeFillTint="33"/>
            <w:noWrap/>
            <w:vAlign w:val="center"/>
            <w:hideMark/>
          </w:tcPr>
          <w:p w14:paraId="101015F3"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7 165</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426CB0A" w14:textId="77777777" w:rsidR="0060015E" w:rsidRPr="003542CB" w:rsidRDefault="0060015E" w:rsidP="00E3584D">
            <w:pPr>
              <w:spacing w:after="0" w:line="280" w:lineRule="atLeast"/>
              <w:jc w:val="right"/>
              <w:rPr>
                <w:rFonts w:cstheme="minorHAnsi"/>
                <w:b/>
                <w:color w:val="000000" w:themeColor="text1"/>
                <w:sz w:val="20"/>
                <w:szCs w:val="20"/>
              </w:rPr>
            </w:pPr>
            <w:r w:rsidRPr="003542CB">
              <w:rPr>
                <w:rFonts w:cstheme="minorHAnsi"/>
                <w:b/>
                <w:color w:val="000000" w:themeColor="text1"/>
                <w:sz w:val="20"/>
                <w:szCs w:val="20"/>
              </w:rPr>
              <w:t>- 1 809</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F482E93"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709</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14:paraId="3F2FA57A" w14:textId="77777777" w:rsidR="0060015E" w:rsidRPr="003542CB" w:rsidRDefault="0060015E" w:rsidP="00E3584D">
            <w:pPr>
              <w:spacing w:after="0" w:line="280" w:lineRule="atLeast"/>
              <w:jc w:val="right"/>
              <w:rPr>
                <w:rFonts w:eastAsia="Times New Roman" w:cstheme="minorHAnsi"/>
                <w:b/>
                <w:color w:val="000000" w:themeColor="text1"/>
                <w:sz w:val="20"/>
                <w:szCs w:val="20"/>
                <w:lang w:eastAsia="cs-CZ"/>
              </w:rPr>
            </w:pPr>
            <w:r w:rsidRPr="003542CB">
              <w:rPr>
                <w:rFonts w:cstheme="minorHAnsi"/>
                <w:b/>
                <w:color w:val="000000" w:themeColor="text1"/>
                <w:sz w:val="20"/>
                <w:szCs w:val="20"/>
              </w:rPr>
              <w:t>0,10</w:t>
            </w:r>
          </w:p>
        </w:tc>
      </w:tr>
    </w:tbl>
    <w:p w14:paraId="5446ED78" w14:textId="60B8A1A7" w:rsidR="005553A6" w:rsidRPr="003542CB" w:rsidRDefault="005553A6" w:rsidP="0075785C">
      <w:pPr>
        <w:spacing w:before="120" w:line="280" w:lineRule="atLeast"/>
        <w:jc w:val="both"/>
        <w:rPr>
          <w:rFonts w:cstheme="minorHAnsi"/>
          <w:color w:val="000000" w:themeColor="text1"/>
          <w:sz w:val="24"/>
          <w:szCs w:val="24"/>
        </w:rPr>
      </w:pPr>
      <w:r w:rsidRPr="003542CB">
        <w:rPr>
          <w:rFonts w:cstheme="minorHAnsi"/>
          <w:color w:val="000000" w:themeColor="text1"/>
          <w:sz w:val="24"/>
          <w:szCs w:val="24"/>
        </w:rPr>
        <w:t xml:space="preserve">Celkové hrubé předepsané pojistné zaznamenalo pokles o 53 %. Tento pokles byl způsoben dopady pandemie na omezení cestovního ruchu a tím způsobeným propadem cestovního pojištění, které zaznamenalo propad o 60 % proti roku 2019. Úrazové pojištění proti předchozímu roku vzrostlo o 8 %. Komerční zdravotní pojištění je již pouze okrajovým produktem bez velkého významu. </w:t>
      </w:r>
    </w:p>
    <w:p w14:paraId="4010FE51" w14:textId="261E7FAD" w:rsidR="005553A6" w:rsidRPr="003542CB" w:rsidRDefault="005553A6"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Celkové výnosy byly ve srovnání s rokem 2019 nižší o 36 %.</w:t>
      </w:r>
    </w:p>
    <w:p w14:paraId="62316663" w14:textId="4BD19E8A" w:rsidR="004D57A3" w:rsidRPr="003542CB" w:rsidRDefault="005553A6"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Celkový vývoj ziskovosti Pojišťovny od roku 2015 je zobrazen v tab. č. </w:t>
      </w:r>
      <w:proofErr w:type="gramStart"/>
      <w:r w:rsidRPr="003542CB">
        <w:rPr>
          <w:rFonts w:cstheme="minorHAnsi"/>
          <w:color w:val="000000" w:themeColor="text1"/>
          <w:sz w:val="24"/>
          <w:szCs w:val="24"/>
        </w:rPr>
        <w:t>2:</w:t>
      </w:r>
      <w:r w:rsidR="004D57A3" w:rsidRPr="003542CB">
        <w:rPr>
          <w:rFonts w:cstheme="minorHAnsi"/>
          <w:color w:val="000000" w:themeColor="text1"/>
          <w:sz w:val="24"/>
          <w:szCs w:val="24"/>
        </w:rPr>
        <w:t>Tab.</w:t>
      </w:r>
      <w:proofErr w:type="gramEnd"/>
      <w:r w:rsidR="004D57A3" w:rsidRPr="003542CB">
        <w:rPr>
          <w:rFonts w:cstheme="minorHAnsi"/>
          <w:color w:val="000000" w:themeColor="text1"/>
          <w:sz w:val="24"/>
          <w:szCs w:val="24"/>
        </w:rPr>
        <w:t xml:space="preserve"> č. 2 – Zisk po zdanění za období od r. 201</w:t>
      </w:r>
      <w:r w:rsidR="007E770B" w:rsidRPr="003542CB">
        <w:rPr>
          <w:rFonts w:cstheme="minorHAnsi"/>
          <w:color w:val="000000" w:themeColor="text1"/>
          <w:sz w:val="24"/>
          <w:szCs w:val="24"/>
        </w:rPr>
        <w:t>5</w:t>
      </w:r>
      <w:r w:rsidR="004D57A3" w:rsidRPr="003542CB">
        <w:rPr>
          <w:rFonts w:cstheme="minorHAnsi"/>
          <w:color w:val="000000" w:themeColor="text1"/>
          <w:sz w:val="24"/>
          <w:szCs w:val="24"/>
        </w:rPr>
        <w:t xml:space="preserve"> do r. 20</w:t>
      </w:r>
      <w:r w:rsidR="007E770B" w:rsidRPr="003542CB">
        <w:rPr>
          <w:rFonts w:cstheme="minorHAnsi"/>
          <w:color w:val="000000" w:themeColor="text1"/>
          <w:sz w:val="24"/>
          <w:szCs w:val="24"/>
        </w:rPr>
        <w:t>20</w:t>
      </w:r>
    </w:p>
    <w:tbl>
      <w:tblPr>
        <w:tblStyle w:val="Mkatabulky"/>
        <w:tblW w:w="9067" w:type="dxa"/>
        <w:tblLook w:val="04A0" w:firstRow="1" w:lastRow="0" w:firstColumn="1" w:lastColumn="0" w:noHBand="0" w:noVBand="1"/>
      </w:tblPr>
      <w:tblGrid>
        <w:gridCol w:w="1980"/>
        <w:gridCol w:w="1175"/>
        <w:gridCol w:w="1030"/>
        <w:gridCol w:w="1086"/>
        <w:gridCol w:w="1158"/>
        <w:gridCol w:w="1071"/>
        <w:gridCol w:w="1567"/>
      </w:tblGrid>
      <w:tr w:rsidR="006F7C7B" w:rsidRPr="003542CB" w14:paraId="4A5B4B2C" w14:textId="77777777" w:rsidTr="006F7C7B">
        <w:tc>
          <w:tcPr>
            <w:tcW w:w="1980" w:type="dxa"/>
            <w:shd w:val="clear" w:color="auto" w:fill="DEEAF6" w:themeFill="accent1" w:themeFillTint="33"/>
          </w:tcPr>
          <w:p w14:paraId="12CEEB3E" w14:textId="77777777" w:rsidR="003F03F1" w:rsidRPr="003542CB" w:rsidRDefault="003F03F1" w:rsidP="00E3584D">
            <w:pPr>
              <w:spacing w:line="280" w:lineRule="atLeast"/>
              <w:jc w:val="center"/>
              <w:rPr>
                <w:rFonts w:cstheme="minorHAnsi"/>
                <w:i/>
              </w:rPr>
            </w:pPr>
            <w:r w:rsidRPr="003542CB">
              <w:rPr>
                <w:rFonts w:cstheme="minorHAnsi"/>
                <w:i/>
              </w:rPr>
              <w:t>rok</w:t>
            </w:r>
          </w:p>
        </w:tc>
        <w:tc>
          <w:tcPr>
            <w:tcW w:w="1175" w:type="dxa"/>
            <w:shd w:val="clear" w:color="auto" w:fill="DEEAF6" w:themeFill="accent1" w:themeFillTint="33"/>
          </w:tcPr>
          <w:p w14:paraId="2723543C" w14:textId="77777777" w:rsidR="003F03F1" w:rsidRPr="003542CB" w:rsidRDefault="003F03F1" w:rsidP="00E3584D">
            <w:pPr>
              <w:spacing w:line="280" w:lineRule="atLeast"/>
              <w:jc w:val="center"/>
              <w:rPr>
                <w:rFonts w:cstheme="minorHAnsi"/>
                <w:i/>
              </w:rPr>
            </w:pPr>
            <w:r w:rsidRPr="003542CB">
              <w:rPr>
                <w:rFonts w:cstheme="minorHAnsi"/>
                <w:i/>
              </w:rPr>
              <w:t>2015</w:t>
            </w:r>
          </w:p>
        </w:tc>
        <w:tc>
          <w:tcPr>
            <w:tcW w:w="1030" w:type="dxa"/>
            <w:shd w:val="clear" w:color="auto" w:fill="DEEAF6" w:themeFill="accent1" w:themeFillTint="33"/>
          </w:tcPr>
          <w:p w14:paraId="116349CE" w14:textId="77777777" w:rsidR="003F03F1" w:rsidRPr="003542CB" w:rsidRDefault="003F03F1" w:rsidP="00E3584D">
            <w:pPr>
              <w:spacing w:line="280" w:lineRule="atLeast"/>
              <w:jc w:val="center"/>
              <w:rPr>
                <w:rFonts w:cstheme="minorHAnsi"/>
                <w:i/>
              </w:rPr>
            </w:pPr>
            <w:r w:rsidRPr="003542CB">
              <w:rPr>
                <w:rFonts w:cstheme="minorHAnsi"/>
                <w:i/>
              </w:rPr>
              <w:t>2016</w:t>
            </w:r>
          </w:p>
        </w:tc>
        <w:tc>
          <w:tcPr>
            <w:tcW w:w="1086" w:type="dxa"/>
            <w:shd w:val="clear" w:color="auto" w:fill="DEEAF6" w:themeFill="accent1" w:themeFillTint="33"/>
          </w:tcPr>
          <w:p w14:paraId="29132CAB" w14:textId="77777777" w:rsidR="003F03F1" w:rsidRPr="003542CB" w:rsidRDefault="003F03F1" w:rsidP="00E3584D">
            <w:pPr>
              <w:spacing w:line="280" w:lineRule="atLeast"/>
              <w:jc w:val="center"/>
              <w:rPr>
                <w:rFonts w:cstheme="minorHAnsi"/>
                <w:i/>
              </w:rPr>
            </w:pPr>
            <w:r w:rsidRPr="003542CB">
              <w:rPr>
                <w:rFonts w:cstheme="minorHAnsi"/>
                <w:i/>
              </w:rPr>
              <w:t>2017</w:t>
            </w:r>
          </w:p>
        </w:tc>
        <w:tc>
          <w:tcPr>
            <w:tcW w:w="1158" w:type="dxa"/>
            <w:shd w:val="clear" w:color="auto" w:fill="DEEAF6" w:themeFill="accent1" w:themeFillTint="33"/>
          </w:tcPr>
          <w:p w14:paraId="5FA564E0" w14:textId="77777777" w:rsidR="003F03F1" w:rsidRPr="003542CB" w:rsidRDefault="003F03F1" w:rsidP="00E3584D">
            <w:pPr>
              <w:spacing w:line="280" w:lineRule="atLeast"/>
              <w:jc w:val="center"/>
              <w:rPr>
                <w:rFonts w:cstheme="minorHAnsi"/>
                <w:i/>
              </w:rPr>
            </w:pPr>
            <w:r w:rsidRPr="003542CB">
              <w:rPr>
                <w:rFonts w:cstheme="minorHAnsi"/>
                <w:i/>
              </w:rPr>
              <w:t>2018</w:t>
            </w:r>
          </w:p>
        </w:tc>
        <w:tc>
          <w:tcPr>
            <w:tcW w:w="1071" w:type="dxa"/>
            <w:shd w:val="clear" w:color="auto" w:fill="DEEAF6" w:themeFill="accent1" w:themeFillTint="33"/>
          </w:tcPr>
          <w:p w14:paraId="671BCD86" w14:textId="77777777" w:rsidR="003F03F1" w:rsidRPr="003542CB" w:rsidRDefault="003F03F1" w:rsidP="00E3584D">
            <w:pPr>
              <w:spacing w:line="280" w:lineRule="atLeast"/>
              <w:jc w:val="center"/>
              <w:rPr>
                <w:rFonts w:cstheme="minorHAnsi"/>
                <w:i/>
              </w:rPr>
            </w:pPr>
            <w:r w:rsidRPr="003542CB">
              <w:rPr>
                <w:rFonts w:cstheme="minorHAnsi"/>
                <w:i/>
              </w:rPr>
              <w:t>2019</w:t>
            </w:r>
          </w:p>
        </w:tc>
        <w:tc>
          <w:tcPr>
            <w:tcW w:w="1567" w:type="dxa"/>
            <w:shd w:val="clear" w:color="auto" w:fill="DEEAF6" w:themeFill="accent1" w:themeFillTint="33"/>
          </w:tcPr>
          <w:p w14:paraId="30A879F4" w14:textId="77777777" w:rsidR="003F03F1" w:rsidRPr="003542CB" w:rsidRDefault="003F03F1" w:rsidP="00E3584D">
            <w:pPr>
              <w:spacing w:line="280" w:lineRule="atLeast"/>
              <w:jc w:val="center"/>
              <w:rPr>
                <w:rFonts w:cstheme="minorHAnsi"/>
                <w:i/>
              </w:rPr>
            </w:pPr>
            <w:r w:rsidRPr="003542CB">
              <w:rPr>
                <w:rFonts w:cstheme="minorHAnsi"/>
                <w:i/>
              </w:rPr>
              <w:t>2020</w:t>
            </w:r>
          </w:p>
        </w:tc>
      </w:tr>
      <w:tr w:rsidR="006F7C7B" w:rsidRPr="003542CB" w14:paraId="61489548" w14:textId="77777777" w:rsidTr="006F7C7B">
        <w:tc>
          <w:tcPr>
            <w:tcW w:w="1980" w:type="dxa"/>
            <w:shd w:val="clear" w:color="auto" w:fill="DEEAF6" w:themeFill="accent1" w:themeFillTint="33"/>
          </w:tcPr>
          <w:p w14:paraId="144B3B15" w14:textId="1F439DCA" w:rsidR="003F03F1" w:rsidRPr="003542CB" w:rsidRDefault="006F7C7B" w:rsidP="006F7C7B">
            <w:pPr>
              <w:spacing w:line="280" w:lineRule="atLeast"/>
              <w:rPr>
                <w:rFonts w:cstheme="minorHAnsi"/>
                <w:i/>
              </w:rPr>
            </w:pPr>
            <w:r w:rsidRPr="003542CB">
              <w:rPr>
                <w:rFonts w:cstheme="minorHAnsi"/>
                <w:i/>
              </w:rPr>
              <w:t>Č</w:t>
            </w:r>
            <w:r w:rsidR="003F03F1" w:rsidRPr="003542CB">
              <w:rPr>
                <w:rFonts w:cstheme="minorHAnsi"/>
                <w:i/>
              </w:rPr>
              <w:t>istý</w:t>
            </w:r>
            <w:r>
              <w:rPr>
                <w:rFonts w:cstheme="minorHAnsi"/>
                <w:i/>
              </w:rPr>
              <w:t xml:space="preserve"> </w:t>
            </w:r>
            <w:r w:rsidR="003F03F1" w:rsidRPr="003542CB">
              <w:rPr>
                <w:rFonts w:cstheme="minorHAnsi"/>
                <w:i/>
              </w:rPr>
              <w:t>zisk (v mil. Kč)</w:t>
            </w:r>
          </w:p>
        </w:tc>
        <w:tc>
          <w:tcPr>
            <w:tcW w:w="1175" w:type="dxa"/>
            <w:vAlign w:val="center"/>
          </w:tcPr>
          <w:p w14:paraId="25264A0E" w14:textId="77777777" w:rsidR="003F03F1" w:rsidRPr="003542CB" w:rsidRDefault="003F03F1" w:rsidP="00E3584D">
            <w:pPr>
              <w:spacing w:line="280" w:lineRule="atLeast"/>
              <w:jc w:val="center"/>
              <w:rPr>
                <w:rFonts w:cstheme="minorHAnsi"/>
              </w:rPr>
            </w:pPr>
            <w:r w:rsidRPr="003542CB">
              <w:rPr>
                <w:rFonts w:cstheme="minorHAnsi"/>
              </w:rPr>
              <w:t>6,170</w:t>
            </w:r>
          </w:p>
        </w:tc>
        <w:tc>
          <w:tcPr>
            <w:tcW w:w="1030" w:type="dxa"/>
            <w:vAlign w:val="center"/>
          </w:tcPr>
          <w:p w14:paraId="48F3C21E" w14:textId="77777777" w:rsidR="003F03F1" w:rsidRPr="003542CB" w:rsidRDefault="003F03F1" w:rsidP="00E3584D">
            <w:pPr>
              <w:spacing w:line="280" w:lineRule="atLeast"/>
              <w:jc w:val="center"/>
              <w:rPr>
                <w:rFonts w:cstheme="minorHAnsi"/>
              </w:rPr>
            </w:pPr>
            <w:r w:rsidRPr="003542CB">
              <w:rPr>
                <w:rFonts w:cstheme="minorHAnsi"/>
              </w:rPr>
              <w:t>5,837</w:t>
            </w:r>
          </w:p>
        </w:tc>
        <w:tc>
          <w:tcPr>
            <w:tcW w:w="1086" w:type="dxa"/>
            <w:vAlign w:val="center"/>
          </w:tcPr>
          <w:p w14:paraId="4A6ADA3B" w14:textId="77777777" w:rsidR="003F03F1" w:rsidRPr="003542CB" w:rsidRDefault="003F03F1" w:rsidP="00E3584D">
            <w:pPr>
              <w:spacing w:line="280" w:lineRule="atLeast"/>
              <w:jc w:val="center"/>
              <w:rPr>
                <w:rFonts w:cstheme="minorHAnsi"/>
              </w:rPr>
            </w:pPr>
            <w:r w:rsidRPr="003542CB">
              <w:rPr>
                <w:rFonts w:cstheme="minorHAnsi"/>
              </w:rPr>
              <w:t>6,163</w:t>
            </w:r>
          </w:p>
        </w:tc>
        <w:tc>
          <w:tcPr>
            <w:tcW w:w="1158" w:type="dxa"/>
            <w:vAlign w:val="center"/>
          </w:tcPr>
          <w:p w14:paraId="0042E167" w14:textId="77777777" w:rsidR="003F03F1" w:rsidRPr="003542CB" w:rsidRDefault="003F03F1" w:rsidP="00E3584D">
            <w:pPr>
              <w:spacing w:line="280" w:lineRule="atLeast"/>
              <w:jc w:val="center"/>
              <w:rPr>
                <w:rFonts w:cstheme="minorHAnsi"/>
              </w:rPr>
            </w:pPr>
            <w:r w:rsidRPr="003542CB">
              <w:rPr>
                <w:rFonts w:cstheme="minorHAnsi"/>
              </w:rPr>
              <w:t>6,360</w:t>
            </w:r>
          </w:p>
        </w:tc>
        <w:tc>
          <w:tcPr>
            <w:tcW w:w="1071" w:type="dxa"/>
            <w:vAlign w:val="center"/>
          </w:tcPr>
          <w:p w14:paraId="20CDE956" w14:textId="77777777" w:rsidR="003F03F1" w:rsidRPr="003542CB" w:rsidRDefault="003F03F1" w:rsidP="00E3584D">
            <w:pPr>
              <w:spacing w:line="280" w:lineRule="atLeast"/>
              <w:jc w:val="center"/>
              <w:rPr>
                <w:rFonts w:cstheme="minorHAnsi"/>
              </w:rPr>
            </w:pPr>
            <w:r w:rsidRPr="003542CB">
              <w:rPr>
                <w:rFonts w:cstheme="minorHAnsi"/>
              </w:rPr>
              <w:t>7,165</w:t>
            </w:r>
          </w:p>
        </w:tc>
        <w:tc>
          <w:tcPr>
            <w:tcW w:w="1567" w:type="dxa"/>
            <w:vAlign w:val="center"/>
          </w:tcPr>
          <w:p w14:paraId="167D5593" w14:textId="77777777" w:rsidR="003F03F1" w:rsidRPr="003542CB" w:rsidRDefault="003F03F1" w:rsidP="00E3584D">
            <w:pPr>
              <w:spacing w:line="280" w:lineRule="atLeast"/>
              <w:jc w:val="center"/>
              <w:rPr>
                <w:rFonts w:cstheme="minorHAnsi"/>
              </w:rPr>
            </w:pPr>
            <w:r w:rsidRPr="003542CB">
              <w:rPr>
                <w:rFonts w:cstheme="minorHAnsi"/>
              </w:rPr>
              <w:t>0,709</w:t>
            </w:r>
          </w:p>
        </w:tc>
      </w:tr>
    </w:tbl>
    <w:p w14:paraId="7CDE4D20" w14:textId="2612F3B8" w:rsidR="00423A92" w:rsidRPr="003542CB" w:rsidRDefault="00423A92" w:rsidP="00617F1A">
      <w:pPr>
        <w:spacing w:line="280" w:lineRule="atLeast"/>
        <w:jc w:val="both"/>
        <w:rPr>
          <w:rFonts w:cstheme="minorHAnsi"/>
          <w:color w:val="000000" w:themeColor="text1"/>
          <w:sz w:val="24"/>
          <w:szCs w:val="24"/>
        </w:rPr>
      </w:pPr>
      <w:r w:rsidRPr="003542CB">
        <w:rPr>
          <w:rFonts w:cstheme="minorHAnsi"/>
          <w:color w:val="000000" w:themeColor="text1"/>
          <w:sz w:val="24"/>
          <w:szCs w:val="24"/>
        </w:rPr>
        <w:t>Podíl cestovního pojištění poklesl ze zhruba 91 % v roce 2019 na 79 % ve sledovaném období. Podíl úrazového pojištění vzrostl z přibližně 9 % na 21 %. Detail produktového mixu je zobrazen v grafu č. 1. Komerční zdravotní pojištění je přibližně na stejných hodnotách jako v roce 2019 a jeho podíl</w:t>
      </w:r>
      <w:r w:rsidR="00D52D13" w:rsidRPr="003542CB">
        <w:rPr>
          <w:rFonts w:cstheme="minorHAnsi"/>
          <w:color w:val="000000" w:themeColor="text1"/>
          <w:sz w:val="24"/>
          <w:szCs w:val="24"/>
        </w:rPr>
        <w:t xml:space="preserve"> činí</w:t>
      </w:r>
      <w:r w:rsidRPr="003542CB">
        <w:rPr>
          <w:rFonts w:cstheme="minorHAnsi"/>
          <w:color w:val="000000" w:themeColor="text1"/>
          <w:sz w:val="24"/>
          <w:szCs w:val="24"/>
        </w:rPr>
        <w:t xml:space="preserve"> zhruba 0,15 %.</w:t>
      </w:r>
    </w:p>
    <w:p w14:paraId="7741C3ED" w14:textId="77777777" w:rsidR="00423A92" w:rsidRPr="003542CB" w:rsidRDefault="00423A92"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Graf č. 1 – Produktový mix</w:t>
      </w:r>
    </w:p>
    <w:p w14:paraId="31064C51" w14:textId="5B179E3D" w:rsidR="00423A92" w:rsidRPr="003542CB" w:rsidRDefault="00B47F2F" w:rsidP="00E3584D">
      <w:pPr>
        <w:spacing w:line="280" w:lineRule="atLeast"/>
        <w:jc w:val="both"/>
        <w:rPr>
          <w:rFonts w:cstheme="minorHAnsi"/>
          <w:color w:val="000000" w:themeColor="text1"/>
          <w:sz w:val="24"/>
          <w:szCs w:val="24"/>
        </w:rPr>
      </w:pPr>
      <w:r w:rsidRPr="003542CB">
        <w:rPr>
          <w:rFonts w:cstheme="minorHAnsi"/>
          <w:noProof/>
          <w:color w:val="000000" w:themeColor="text1"/>
          <w:sz w:val="24"/>
          <w:szCs w:val="24"/>
          <w:lang w:eastAsia="cs-CZ"/>
        </w:rPr>
        <w:lastRenderedPageBreak/>
        <w:drawing>
          <wp:inline distT="0" distB="0" distL="0" distR="0" wp14:anchorId="341E6B6B" wp14:editId="4A11D936">
            <wp:extent cx="5229225" cy="28098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961" cy="2810270"/>
                    </a:xfrm>
                    <a:prstGeom prst="rect">
                      <a:avLst/>
                    </a:prstGeom>
                  </pic:spPr>
                </pic:pic>
              </a:graphicData>
            </a:graphic>
          </wp:inline>
        </w:drawing>
      </w:r>
    </w:p>
    <w:p w14:paraId="7DAD3B11" w14:textId="29C6C0C3" w:rsidR="00423A92" w:rsidRPr="003542CB" w:rsidRDefault="00423A92"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Pro rok 2021 byl jediným akcionářem schválen plán hospodaření, který je zobrazený v následující tabulce č. 3. Plán byl vytvářen s vědomím značné nejistoty vývoje s ohledem na stále probíhající pandemii. Dle zkušenosti z roku 2020 se pro Pojišťovnu jeví jako rozhodující vývoj v cestovním pojištění v období od června do září, tedy období letních dovolených. Toto období tvořilo v roce 2019 zhruba 51 % celkového předepsaného pojistného. I v minulém roce, přes významný pokles cestovního pojištění, tvořil tento podíl cca 46 %.</w:t>
      </w:r>
    </w:p>
    <w:p w14:paraId="33E448F8" w14:textId="77777777" w:rsidR="00887D83" w:rsidRPr="003542CB" w:rsidRDefault="00887D83" w:rsidP="00E3584D">
      <w:pPr>
        <w:spacing w:line="280" w:lineRule="atLeast"/>
        <w:jc w:val="both"/>
        <w:rPr>
          <w:rFonts w:cstheme="minorHAnsi"/>
          <w:color w:val="000000" w:themeColor="text1"/>
          <w:sz w:val="24"/>
          <w:szCs w:val="24"/>
        </w:rPr>
      </w:pPr>
      <w:r w:rsidRPr="003542CB">
        <w:rPr>
          <w:rFonts w:eastAsia="Times New Roman" w:cstheme="minorHAnsi"/>
          <w:bCs/>
          <w:color w:val="000000" w:themeColor="text1"/>
          <w:sz w:val="24"/>
          <w:szCs w:val="24"/>
          <w:lang w:eastAsia="cs-CZ"/>
        </w:rPr>
        <w:t xml:space="preserve">Tab. č. 3 – Plán hospodaření </w:t>
      </w:r>
      <w:r w:rsidRPr="003542CB">
        <w:rPr>
          <w:rFonts w:cstheme="minorHAnsi"/>
          <w:color w:val="000000" w:themeColor="text1"/>
          <w:sz w:val="24"/>
          <w:szCs w:val="24"/>
        </w:rPr>
        <w:t>Pojišťovny</w:t>
      </w:r>
      <w:r w:rsidRPr="003542CB">
        <w:rPr>
          <w:rFonts w:eastAsia="Times New Roman" w:cstheme="minorHAnsi"/>
          <w:bCs/>
          <w:color w:val="000000" w:themeColor="text1"/>
          <w:sz w:val="24"/>
          <w:szCs w:val="24"/>
          <w:lang w:eastAsia="cs-CZ"/>
        </w:rPr>
        <w:t xml:space="preserve"> pro rok 2021</w:t>
      </w:r>
    </w:p>
    <w:tbl>
      <w:tblPr>
        <w:tblW w:w="8680" w:type="dxa"/>
        <w:tblInd w:w="55" w:type="dxa"/>
        <w:tblCellMar>
          <w:left w:w="70" w:type="dxa"/>
          <w:right w:w="70" w:type="dxa"/>
        </w:tblCellMar>
        <w:tblLook w:val="04A0" w:firstRow="1" w:lastRow="0" w:firstColumn="1" w:lastColumn="0" w:noHBand="0" w:noVBand="1"/>
      </w:tblPr>
      <w:tblGrid>
        <w:gridCol w:w="3420"/>
        <w:gridCol w:w="1460"/>
        <w:gridCol w:w="1840"/>
        <w:gridCol w:w="1960"/>
      </w:tblGrid>
      <w:tr w:rsidR="005C065E" w:rsidRPr="003542CB" w14:paraId="7FFA4D5C" w14:textId="77777777" w:rsidTr="00D84197">
        <w:trPr>
          <w:trHeight w:val="58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47E96" w14:textId="77777777" w:rsidR="005C065E" w:rsidRPr="003542CB" w:rsidRDefault="005C065E" w:rsidP="00E3584D">
            <w:pPr>
              <w:spacing w:after="0" w:line="280" w:lineRule="atLeast"/>
              <w:jc w:val="center"/>
              <w:rPr>
                <w:rFonts w:eastAsia="Times New Roman" w:cstheme="minorHAnsi"/>
                <w:color w:val="000000" w:themeColor="text1"/>
                <w:sz w:val="20"/>
                <w:szCs w:val="20"/>
                <w:lang w:eastAsia="cs-CZ"/>
              </w:rPr>
            </w:pPr>
            <w:r w:rsidRPr="003542CB">
              <w:rPr>
                <w:rFonts w:eastAsia="Times New Roman" w:cstheme="minorHAnsi"/>
                <w:b/>
                <w:bCs/>
                <w:color w:val="000000" w:themeColor="text1"/>
                <w:sz w:val="20"/>
                <w:szCs w:val="20"/>
                <w:lang w:eastAsia="cs-CZ"/>
              </w:rPr>
              <w:t>ukazatel</w:t>
            </w:r>
            <w:r w:rsidRPr="003542CB">
              <w:rPr>
                <w:rFonts w:eastAsia="Times New Roman" w:cstheme="minorHAnsi"/>
                <w:color w:val="000000" w:themeColor="text1"/>
                <w:sz w:val="20"/>
                <w:szCs w:val="20"/>
                <w:lang w:eastAsia="cs-CZ"/>
              </w:rPr>
              <w:t xml:space="preserve"> (v tis. Kč)</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7892280" w14:textId="77777777" w:rsidR="005C065E" w:rsidRPr="003542CB" w:rsidRDefault="005C065E" w:rsidP="00E3584D">
            <w:pPr>
              <w:spacing w:after="0" w:line="280" w:lineRule="atLeast"/>
              <w:jc w:val="center"/>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plán 2021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D5275" w14:textId="77777777" w:rsidR="005C065E" w:rsidRPr="003542CB" w:rsidRDefault="005C065E" w:rsidP="00E3584D">
            <w:pPr>
              <w:spacing w:after="0" w:line="280" w:lineRule="atLeast"/>
              <w:jc w:val="center"/>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skutečnost 2020</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4B5110B2" w14:textId="77777777" w:rsidR="005C065E" w:rsidRPr="003542CB" w:rsidRDefault="005C065E" w:rsidP="00E3584D">
            <w:pPr>
              <w:spacing w:after="0" w:line="280" w:lineRule="atLeast"/>
              <w:jc w:val="center"/>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plán 2021 / skutečnost 2020</w:t>
            </w:r>
          </w:p>
        </w:tc>
      </w:tr>
      <w:tr w:rsidR="005C065E" w:rsidRPr="003542CB" w14:paraId="31C57A68" w14:textId="77777777" w:rsidTr="00D84197">
        <w:trPr>
          <w:trHeight w:val="300"/>
        </w:trPr>
        <w:tc>
          <w:tcPr>
            <w:tcW w:w="3420" w:type="dxa"/>
            <w:tcBorders>
              <w:top w:val="nil"/>
              <w:left w:val="single" w:sz="4" w:space="0" w:color="auto"/>
              <w:bottom w:val="single" w:sz="4" w:space="0" w:color="auto"/>
              <w:right w:val="single" w:sz="4" w:space="0" w:color="auto"/>
            </w:tcBorders>
            <w:shd w:val="clear" w:color="000000" w:fill="FFF2CC"/>
            <w:noWrap/>
            <w:vAlign w:val="bottom"/>
            <w:hideMark/>
          </w:tcPr>
          <w:p w14:paraId="4076CB51" w14:textId="77777777" w:rsidR="005C065E" w:rsidRPr="003542CB" w:rsidRDefault="005C06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VÝNOSY CELKEM</w:t>
            </w:r>
          </w:p>
        </w:tc>
        <w:tc>
          <w:tcPr>
            <w:tcW w:w="1460" w:type="dxa"/>
            <w:tcBorders>
              <w:top w:val="nil"/>
              <w:left w:val="nil"/>
              <w:bottom w:val="single" w:sz="4" w:space="0" w:color="auto"/>
              <w:right w:val="single" w:sz="4" w:space="0" w:color="auto"/>
            </w:tcBorders>
            <w:shd w:val="clear" w:color="000000" w:fill="FFF2CC"/>
            <w:noWrap/>
            <w:vAlign w:val="bottom"/>
            <w:hideMark/>
          </w:tcPr>
          <w:p w14:paraId="2862B6DF"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44 696</w:t>
            </w:r>
          </w:p>
        </w:tc>
        <w:tc>
          <w:tcPr>
            <w:tcW w:w="1840" w:type="dxa"/>
            <w:tcBorders>
              <w:top w:val="nil"/>
              <w:left w:val="nil"/>
              <w:bottom w:val="single" w:sz="4" w:space="0" w:color="auto"/>
              <w:right w:val="single" w:sz="4" w:space="0" w:color="auto"/>
            </w:tcBorders>
            <w:shd w:val="clear" w:color="000000" w:fill="FFF2CC"/>
            <w:noWrap/>
            <w:vAlign w:val="center"/>
            <w:hideMark/>
          </w:tcPr>
          <w:p w14:paraId="6E0E57AF"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b/>
                <w:color w:val="000000" w:themeColor="text1"/>
                <w:sz w:val="20"/>
                <w:szCs w:val="20"/>
              </w:rPr>
              <w:t>42 661</w:t>
            </w:r>
          </w:p>
        </w:tc>
        <w:tc>
          <w:tcPr>
            <w:tcW w:w="1960" w:type="dxa"/>
            <w:tcBorders>
              <w:top w:val="nil"/>
              <w:left w:val="nil"/>
              <w:bottom w:val="single" w:sz="4" w:space="0" w:color="auto"/>
              <w:right w:val="single" w:sz="4" w:space="0" w:color="auto"/>
            </w:tcBorders>
            <w:shd w:val="clear" w:color="000000" w:fill="FFF2CC"/>
            <w:noWrap/>
            <w:vAlign w:val="bottom"/>
            <w:hideMark/>
          </w:tcPr>
          <w:p w14:paraId="3746CA23"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1,05</w:t>
            </w:r>
          </w:p>
        </w:tc>
      </w:tr>
      <w:tr w:rsidR="005C065E" w:rsidRPr="003542CB" w14:paraId="2F2C968B"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FF5AB83"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Předepsané hrubé pojistné</w:t>
            </w:r>
          </w:p>
        </w:tc>
        <w:tc>
          <w:tcPr>
            <w:tcW w:w="1460" w:type="dxa"/>
            <w:tcBorders>
              <w:top w:val="nil"/>
              <w:left w:val="nil"/>
              <w:bottom w:val="single" w:sz="4" w:space="0" w:color="auto"/>
              <w:right w:val="single" w:sz="4" w:space="0" w:color="auto"/>
            </w:tcBorders>
            <w:shd w:val="clear" w:color="auto" w:fill="auto"/>
            <w:noWrap/>
            <w:vAlign w:val="bottom"/>
            <w:hideMark/>
          </w:tcPr>
          <w:p w14:paraId="0EC1C897"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28 203</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38F00B"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21 709</w:t>
            </w:r>
          </w:p>
        </w:tc>
        <w:tc>
          <w:tcPr>
            <w:tcW w:w="1960" w:type="dxa"/>
            <w:tcBorders>
              <w:top w:val="nil"/>
              <w:left w:val="nil"/>
              <w:bottom w:val="single" w:sz="4" w:space="0" w:color="auto"/>
              <w:right w:val="single" w:sz="4" w:space="0" w:color="auto"/>
            </w:tcBorders>
            <w:shd w:val="clear" w:color="auto" w:fill="auto"/>
            <w:noWrap/>
            <w:vAlign w:val="bottom"/>
            <w:hideMark/>
          </w:tcPr>
          <w:p w14:paraId="125DAFC3"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1,30</w:t>
            </w:r>
          </w:p>
        </w:tc>
      </w:tr>
      <w:tr w:rsidR="005C065E" w:rsidRPr="003542CB" w14:paraId="7CF053FC"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C983001"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Pojistné postoupené zajišťovatelům</w:t>
            </w:r>
          </w:p>
        </w:tc>
        <w:tc>
          <w:tcPr>
            <w:tcW w:w="1460" w:type="dxa"/>
            <w:tcBorders>
              <w:top w:val="nil"/>
              <w:left w:val="nil"/>
              <w:bottom w:val="single" w:sz="4" w:space="0" w:color="auto"/>
              <w:right w:val="single" w:sz="4" w:space="0" w:color="auto"/>
            </w:tcBorders>
            <w:shd w:val="clear" w:color="auto" w:fill="auto"/>
            <w:noWrap/>
            <w:vAlign w:val="bottom"/>
            <w:hideMark/>
          </w:tcPr>
          <w:p w14:paraId="55768A93"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-2 414</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AF1F0A"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- 1 604</w:t>
            </w:r>
          </w:p>
        </w:tc>
        <w:tc>
          <w:tcPr>
            <w:tcW w:w="1960" w:type="dxa"/>
            <w:tcBorders>
              <w:top w:val="nil"/>
              <w:left w:val="nil"/>
              <w:bottom w:val="single" w:sz="4" w:space="0" w:color="auto"/>
              <w:right w:val="single" w:sz="4" w:space="0" w:color="auto"/>
            </w:tcBorders>
            <w:shd w:val="clear" w:color="auto" w:fill="auto"/>
            <w:noWrap/>
            <w:vAlign w:val="bottom"/>
            <w:hideMark/>
          </w:tcPr>
          <w:p w14:paraId="3C46A337"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1,50</w:t>
            </w:r>
          </w:p>
        </w:tc>
      </w:tr>
      <w:tr w:rsidR="005C065E" w:rsidRPr="003542CB" w14:paraId="6D553DE8"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AD2F70A"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Výnosy z finančního umístění</w:t>
            </w:r>
          </w:p>
        </w:tc>
        <w:tc>
          <w:tcPr>
            <w:tcW w:w="1460" w:type="dxa"/>
            <w:tcBorders>
              <w:top w:val="nil"/>
              <w:left w:val="nil"/>
              <w:bottom w:val="single" w:sz="4" w:space="0" w:color="auto"/>
              <w:right w:val="single" w:sz="4" w:space="0" w:color="auto"/>
            </w:tcBorders>
            <w:shd w:val="clear" w:color="auto" w:fill="auto"/>
            <w:noWrap/>
            <w:vAlign w:val="bottom"/>
            <w:hideMark/>
          </w:tcPr>
          <w:p w14:paraId="7A5C0449"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1 484</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1D5390"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2 764</w:t>
            </w:r>
          </w:p>
        </w:tc>
        <w:tc>
          <w:tcPr>
            <w:tcW w:w="1960" w:type="dxa"/>
            <w:tcBorders>
              <w:top w:val="nil"/>
              <w:left w:val="nil"/>
              <w:bottom w:val="single" w:sz="4" w:space="0" w:color="auto"/>
              <w:right w:val="single" w:sz="4" w:space="0" w:color="auto"/>
            </w:tcBorders>
            <w:shd w:val="clear" w:color="auto" w:fill="auto"/>
            <w:noWrap/>
            <w:vAlign w:val="bottom"/>
            <w:hideMark/>
          </w:tcPr>
          <w:p w14:paraId="7B1B9CA4"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0,54</w:t>
            </w:r>
          </w:p>
        </w:tc>
      </w:tr>
      <w:tr w:rsidR="005C065E" w:rsidRPr="003542CB" w14:paraId="3EE6C155"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34D0B5"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Čerpání pojistných rezerv</w:t>
            </w:r>
          </w:p>
        </w:tc>
        <w:tc>
          <w:tcPr>
            <w:tcW w:w="1460" w:type="dxa"/>
            <w:tcBorders>
              <w:top w:val="nil"/>
              <w:left w:val="nil"/>
              <w:bottom w:val="single" w:sz="4" w:space="0" w:color="auto"/>
              <w:right w:val="single" w:sz="4" w:space="0" w:color="auto"/>
            </w:tcBorders>
            <w:shd w:val="clear" w:color="auto" w:fill="auto"/>
            <w:noWrap/>
            <w:vAlign w:val="bottom"/>
            <w:hideMark/>
          </w:tcPr>
          <w:p w14:paraId="5737B174"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14 903</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9F992B"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15 938</w:t>
            </w:r>
          </w:p>
        </w:tc>
        <w:tc>
          <w:tcPr>
            <w:tcW w:w="1960" w:type="dxa"/>
            <w:tcBorders>
              <w:top w:val="nil"/>
              <w:left w:val="nil"/>
              <w:bottom w:val="single" w:sz="4" w:space="0" w:color="auto"/>
              <w:right w:val="single" w:sz="4" w:space="0" w:color="auto"/>
            </w:tcBorders>
            <w:shd w:val="clear" w:color="auto" w:fill="auto"/>
            <w:noWrap/>
            <w:vAlign w:val="bottom"/>
            <w:hideMark/>
          </w:tcPr>
          <w:p w14:paraId="1BC3BAEC"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0,94</w:t>
            </w:r>
          </w:p>
        </w:tc>
      </w:tr>
      <w:tr w:rsidR="005C065E" w:rsidRPr="003542CB" w14:paraId="4E0B8634"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593AC4D"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Ostatní technické a netechnické výnosy</w:t>
            </w:r>
          </w:p>
        </w:tc>
        <w:tc>
          <w:tcPr>
            <w:tcW w:w="1460" w:type="dxa"/>
            <w:tcBorders>
              <w:top w:val="nil"/>
              <w:left w:val="nil"/>
              <w:bottom w:val="single" w:sz="4" w:space="0" w:color="auto"/>
              <w:right w:val="single" w:sz="4" w:space="0" w:color="auto"/>
            </w:tcBorders>
            <w:shd w:val="clear" w:color="auto" w:fill="auto"/>
            <w:noWrap/>
            <w:vAlign w:val="bottom"/>
            <w:hideMark/>
          </w:tcPr>
          <w:p w14:paraId="7D45D851"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2 520</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B888D2A"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3 854</w:t>
            </w:r>
          </w:p>
        </w:tc>
        <w:tc>
          <w:tcPr>
            <w:tcW w:w="1960" w:type="dxa"/>
            <w:tcBorders>
              <w:top w:val="nil"/>
              <w:left w:val="nil"/>
              <w:bottom w:val="single" w:sz="4" w:space="0" w:color="auto"/>
              <w:right w:val="single" w:sz="4" w:space="0" w:color="auto"/>
            </w:tcBorders>
            <w:shd w:val="clear" w:color="auto" w:fill="auto"/>
            <w:noWrap/>
            <w:vAlign w:val="bottom"/>
            <w:hideMark/>
          </w:tcPr>
          <w:p w14:paraId="409C7A45"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0,65</w:t>
            </w:r>
          </w:p>
        </w:tc>
      </w:tr>
      <w:tr w:rsidR="005C065E" w:rsidRPr="003542CB" w14:paraId="656A05AB" w14:textId="77777777" w:rsidTr="00D84197">
        <w:trPr>
          <w:trHeight w:val="300"/>
        </w:trPr>
        <w:tc>
          <w:tcPr>
            <w:tcW w:w="3420" w:type="dxa"/>
            <w:tcBorders>
              <w:top w:val="nil"/>
              <w:left w:val="single" w:sz="4" w:space="0" w:color="auto"/>
              <w:bottom w:val="single" w:sz="4" w:space="0" w:color="auto"/>
              <w:right w:val="single" w:sz="4" w:space="0" w:color="auto"/>
            </w:tcBorders>
            <w:shd w:val="clear" w:color="000000" w:fill="E2EFDA"/>
            <w:noWrap/>
            <w:vAlign w:val="bottom"/>
            <w:hideMark/>
          </w:tcPr>
          <w:p w14:paraId="2B284A44" w14:textId="77777777" w:rsidR="005C065E" w:rsidRPr="003542CB" w:rsidRDefault="005C06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NÁKLADY CELKEM</w:t>
            </w:r>
          </w:p>
        </w:tc>
        <w:tc>
          <w:tcPr>
            <w:tcW w:w="1460" w:type="dxa"/>
            <w:tcBorders>
              <w:top w:val="nil"/>
              <w:left w:val="nil"/>
              <w:bottom w:val="single" w:sz="4" w:space="0" w:color="auto"/>
              <w:right w:val="single" w:sz="4" w:space="0" w:color="auto"/>
            </w:tcBorders>
            <w:shd w:val="clear" w:color="000000" w:fill="E2EFDA"/>
            <w:noWrap/>
            <w:vAlign w:val="bottom"/>
            <w:hideMark/>
          </w:tcPr>
          <w:p w14:paraId="43B5D038"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43 913</w:t>
            </w:r>
          </w:p>
        </w:tc>
        <w:tc>
          <w:tcPr>
            <w:tcW w:w="1840" w:type="dxa"/>
            <w:tcBorders>
              <w:top w:val="nil"/>
              <w:left w:val="single" w:sz="4" w:space="0" w:color="auto"/>
              <w:bottom w:val="single" w:sz="4" w:space="0" w:color="auto"/>
              <w:right w:val="single" w:sz="4" w:space="0" w:color="auto"/>
            </w:tcBorders>
            <w:shd w:val="clear" w:color="000000" w:fill="E2EFDA"/>
            <w:noWrap/>
            <w:vAlign w:val="bottom"/>
            <w:hideMark/>
          </w:tcPr>
          <w:p w14:paraId="3101D30E"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b/>
                <w:bCs/>
                <w:color w:val="000000"/>
                <w:sz w:val="20"/>
                <w:szCs w:val="20"/>
              </w:rPr>
              <w:t>39 464</w:t>
            </w:r>
          </w:p>
        </w:tc>
        <w:tc>
          <w:tcPr>
            <w:tcW w:w="1960" w:type="dxa"/>
            <w:tcBorders>
              <w:top w:val="nil"/>
              <w:left w:val="nil"/>
              <w:bottom w:val="single" w:sz="4" w:space="0" w:color="auto"/>
              <w:right w:val="single" w:sz="4" w:space="0" w:color="auto"/>
            </w:tcBorders>
            <w:shd w:val="clear" w:color="000000" w:fill="E2EFDA"/>
            <w:noWrap/>
            <w:vAlign w:val="bottom"/>
            <w:hideMark/>
          </w:tcPr>
          <w:p w14:paraId="2E0A8A57"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1,11</w:t>
            </w:r>
          </w:p>
        </w:tc>
      </w:tr>
      <w:tr w:rsidR="005C065E" w:rsidRPr="003542CB" w14:paraId="1B318044"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F6857B3"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 xml:space="preserve">Pojistná </w:t>
            </w:r>
            <w:proofErr w:type="gramStart"/>
            <w:r w:rsidRPr="003542CB">
              <w:rPr>
                <w:rFonts w:eastAsia="Times New Roman" w:cstheme="minorHAnsi"/>
                <w:bCs/>
                <w:color w:val="000000" w:themeColor="text1"/>
                <w:sz w:val="20"/>
                <w:szCs w:val="20"/>
                <w:lang w:eastAsia="cs-CZ"/>
              </w:rPr>
              <w:t>plnění - čistá</w:t>
            </w:r>
            <w:proofErr w:type="gramEnd"/>
            <w:r w:rsidRPr="003542CB">
              <w:rPr>
                <w:rFonts w:eastAsia="Times New Roman" w:cstheme="minorHAnsi"/>
                <w:bCs/>
                <w:color w:val="000000" w:themeColor="text1"/>
                <w:sz w:val="20"/>
                <w:szCs w:val="20"/>
                <w:lang w:eastAsia="cs-CZ"/>
              </w:rPr>
              <w:t xml:space="preserve"> výše</w:t>
            </w:r>
          </w:p>
        </w:tc>
        <w:tc>
          <w:tcPr>
            <w:tcW w:w="1460" w:type="dxa"/>
            <w:tcBorders>
              <w:top w:val="nil"/>
              <w:left w:val="nil"/>
              <w:bottom w:val="single" w:sz="4" w:space="0" w:color="auto"/>
              <w:right w:val="single" w:sz="4" w:space="0" w:color="auto"/>
            </w:tcBorders>
            <w:shd w:val="clear" w:color="auto" w:fill="auto"/>
            <w:noWrap/>
            <w:vAlign w:val="bottom"/>
            <w:hideMark/>
          </w:tcPr>
          <w:p w14:paraId="50F93B0E"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 xml:space="preserve">5 469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45B5770"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4 867</w:t>
            </w:r>
          </w:p>
        </w:tc>
        <w:tc>
          <w:tcPr>
            <w:tcW w:w="1960" w:type="dxa"/>
            <w:tcBorders>
              <w:top w:val="nil"/>
              <w:left w:val="nil"/>
              <w:bottom w:val="single" w:sz="4" w:space="0" w:color="auto"/>
              <w:right w:val="single" w:sz="4" w:space="0" w:color="auto"/>
            </w:tcBorders>
            <w:shd w:val="clear" w:color="auto" w:fill="auto"/>
            <w:noWrap/>
            <w:vAlign w:val="bottom"/>
            <w:hideMark/>
          </w:tcPr>
          <w:p w14:paraId="3F3624E0"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1,12</w:t>
            </w:r>
          </w:p>
        </w:tc>
      </w:tr>
      <w:tr w:rsidR="005C065E" w:rsidRPr="003542CB" w14:paraId="4794C79D"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51270D7"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Tvorba pojistných rezerv</w:t>
            </w:r>
          </w:p>
        </w:tc>
        <w:tc>
          <w:tcPr>
            <w:tcW w:w="1460" w:type="dxa"/>
            <w:tcBorders>
              <w:top w:val="nil"/>
              <w:left w:val="nil"/>
              <w:bottom w:val="single" w:sz="4" w:space="0" w:color="auto"/>
              <w:right w:val="single" w:sz="4" w:space="0" w:color="auto"/>
            </w:tcBorders>
            <w:shd w:val="clear" w:color="auto" w:fill="auto"/>
            <w:noWrap/>
            <w:vAlign w:val="bottom"/>
            <w:hideMark/>
          </w:tcPr>
          <w:p w14:paraId="3F7FD487"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12 228</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6091284"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10 867</w:t>
            </w:r>
          </w:p>
        </w:tc>
        <w:tc>
          <w:tcPr>
            <w:tcW w:w="1960" w:type="dxa"/>
            <w:tcBorders>
              <w:top w:val="nil"/>
              <w:left w:val="nil"/>
              <w:bottom w:val="single" w:sz="4" w:space="0" w:color="auto"/>
              <w:right w:val="single" w:sz="4" w:space="0" w:color="auto"/>
            </w:tcBorders>
            <w:shd w:val="clear" w:color="auto" w:fill="auto"/>
            <w:noWrap/>
            <w:vAlign w:val="bottom"/>
            <w:hideMark/>
          </w:tcPr>
          <w:p w14:paraId="451812C4"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1,13</w:t>
            </w:r>
          </w:p>
        </w:tc>
      </w:tr>
      <w:tr w:rsidR="005C065E" w:rsidRPr="003542CB" w14:paraId="7E288B7A"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1BAA6C8"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Náklady na finanční umístění</w:t>
            </w:r>
          </w:p>
        </w:tc>
        <w:tc>
          <w:tcPr>
            <w:tcW w:w="1460" w:type="dxa"/>
            <w:tcBorders>
              <w:top w:val="nil"/>
              <w:left w:val="nil"/>
              <w:bottom w:val="single" w:sz="4" w:space="0" w:color="auto"/>
              <w:right w:val="single" w:sz="4" w:space="0" w:color="auto"/>
            </w:tcBorders>
            <w:shd w:val="clear" w:color="auto" w:fill="auto"/>
            <w:noWrap/>
            <w:vAlign w:val="bottom"/>
            <w:hideMark/>
          </w:tcPr>
          <w:p w14:paraId="609D0AD7"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332</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3B5BF30"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429</w:t>
            </w:r>
          </w:p>
        </w:tc>
        <w:tc>
          <w:tcPr>
            <w:tcW w:w="1960" w:type="dxa"/>
            <w:tcBorders>
              <w:top w:val="nil"/>
              <w:left w:val="nil"/>
              <w:bottom w:val="single" w:sz="4" w:space="0" w:color="auto"/>
              <w:right w:val="single" w:sz="4" w:space="0" w:color="auto"/>
            </w:tcBorders>
            <w:shd w:val="clear" w:color="auto" w:fill="auto"/>
            <w:noWrap/>
            <w:vAlign w:val="bottom"/>
            <w:hideMark/>
          </w:tcPr>
          <w:p w14:paraId="6E74492F"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0,77</w:t>
            </w:r>
          </w:p>
        </w:tc>
      </w:tr>
      <w:tr w:rsidR="005C065E" w:rsidRPr="003542CB" w14:paraId="68C2822F"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47BCDD0"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Pořizovací náklady na poj. smlouvy</w:t>
            </w:r>
          </w:p>
        </w:tc>
        <w:tc>
          <w:tcPr>
            <w:tcW w:w="1460" w:type="dxa"/>
            <w:tcBorders>
              <w:top w:val="nil"/>
              <w:left w:val="nil"/>
              <w:bottom w:val="single" w:sz="4" w:space="0" w:color="auto"/>
              <w:right w:val="single" w:sz="4" w:space="0" w:color="auto"/>
            </w:tcBorders>
            <w:shd w:val="clear" w:color="auto" w:fill="auto"/>
            <w:noWrap/>
            <w:vAlign w:val="bottom"/>
            <w:hideMark/>
          </w:tcPr>
          <w:p w14:paraId="4C93A690"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2 042</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769C1D8"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1 535</w:t>
            </w:r>
          </w:p>
        </w:tc>
        <w:tc>
          <w:tcPr>
            <w:tcW w:w="1960" w:type="dxa"/>
            <w:tcBorders>
              <w:top w:val="nil"/>
              <w:left w:val="nil"/>
              <w:bottom w:val="single" w:sz="4" w:space="0" w:color="auto"/>
              <w:right w:val="single" w:sz="4" w:space="0" w:color="auto"/>
            </w:tcBorders>
            <w:shd w:val="clear" w:color="auto" w:fill="auto"/>
            <w:noWrap/>
            <w:vAlign w:val="bottom"/>
            <w:hideMark/>
          </w:tcPr>
          <w:p w14:paraId="0F3E6C04"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1,33</w:t>
            </w:r>
          </w:p>
        </w:tc>
      </w:tr>
      <w:tr w:rsidR="005C065E" w:rsidRPr="003542CB" w14:paraId="41D3FBC3"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9092FC7"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Správní režie</w:t>
            </w:r>
          </w:p>
        </w:tc>
        <w:tc>
          <w:tcPr>
            <w:tcW w:w="1460" w:type="dxa"/>
            <w:tcBorders>
              <w:top w:val="nil"/>
              <w:left w:val="nil"/>
              <w:bottom w:val="single" w:sz="4" w:space="0" w:color="auto"/>
              <w:right w:val="single" w:sz="4" w:space="0" w:color="auto"/>
            </w:tcBorders>
            <w:shd w:val="clear" w:color="auto" w:fill="auto"/>
            <w:noWrap/>
            <w:vAlign w:val="bottom"/>
            <w:hideMark/>
          </w:tcPr>
          <w:p w14:paraId="407A8B95"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20 342</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849A600"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18 568</w:t>
            </w:r>
          </w:p>
        </w:tc>
        <w:tc>
          <w:tcPr>
            <w:tcW w:w="1960" w:type="dxa"/>
            <w:tcBorders>
              <w:top w:val="nil"/>
              <w:left w:val="nil"/>
              <w:bottom w:val="single" w:sz="4" w:space="0" w:color="auto"/>
              <w:right w:val="single" w:sz="4" w:space="0" w:color="auto"/>
            </w:tcBorders>
            <w:shd w:val="clear" w:color="auto" w:fill="auto"/>
            <w:noWrap/>
            <w:vAlign w:val="bottom"/>
            <w:hideMark/>
          </w:tcPr>
          <w:p w14:paraId="7C7223CA"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1,10</w:t>
            </w:r>
          </w:p>
        </w:tc>
      </w:tr>
      <w:tr w:rsidR="005C065E" w:rsidRPr="003542CB" w14:paraId="0036E7B0" w14:textId="77777777" w:rsidTr="00D84197">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C6E3995" w14:textId="77777777" w:rsidR="005C065E" w:rsidRPr="003542CB" w:rsidRDefault="005C065E" w:rsidP="00E3584D">
            <w:pPr>
              <w:spacing w:after="0" w:line="280" w:lineRule="atLeast"/>
              <w:rPr>
                <w:rFonts w:eastAsia="Times New Roman" w:cstheme="minorHAnsi"/>
                <w:bCs/>
                <w:color w:val="000000" w:themeColor="text1"/>
                <w:sz w:val="20"/>
                <w:szCs w:val="20"/>
                <w:lang w:eastAsia="cs-CZ"/>
              </w:rPr>
            </w:pPr>
            <w:r w:rsidRPr="003542CB">
              <w:rPr>
                <w:rFonts w:eastAsia="Times New Roman" w:cstheme="minorHAnsi"/>
                <w:bCs/>
                <w:color w:val="000000" w:themeColor="text1"/>
                <w:sz w:val="20"/>
                <w:szCs w:val="20"/>
                <w:lang w:eastAsia="cs-CZ"/>
              </w:rPr>
              <w:t>Ostatní technické a netechnické náklady</w:t>
            </w:r>
          </w:p>
        </w:tc>
        <w:tc>
          <w:tcPr>
            <w:tcW w:w="1460" w:type="dxa"/>
            <w:tcBorders>
              <w:top w:val="nil"/>
              <w:left w:val="nil"/>
              <w:bottom w:val="single" w:sz="4" w:space="0" w:color="auto"/>
              <w:right w:val="single" w:sz="4" w:space="0" w:color="auto"/>
            </w:tcBorders>
            <w:shd w:val="clear" w:color="auto" w:fill="auto"/>
            <w:noWrap/>
            <w:vAlign w:val="bottom"/>
            <w:hideMark/>
          </w:tcPr>
          <w:p w14:paraId="2BA40FDA"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3 500</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000E873"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color w:val="000000" w:themeColor="text1"/>
                <w:sz w:val="20"/>
                <w:szCs w:val="20"/>
              </w:rPr>
              <w:t>3 198</w:t>
            </w:r>
          </w:p>
        </w:tc>
        <w:tc>
          <w:tcPr>
            <w:tcW w:w="1960" w:type="dxa"/>
            <w:tcBorders>
              <w:top w:val="nil"/>
              <w:left w:val="nil"/>
              <w:bottom w:val="single" w:sz="4" w:space="0" w:color="auto"/>
              <w:right w:val="single" w:sz="4" w:space="0" w:color="auto"/>
            </w:tcBorders>
            <w:shd w:val="clear" w:color="auto" w:fill="auto"/>
            <w:noWrap/>
            <w:vAlign w:val="bottom"/>
            <w:hideMark/>
          </w:tcPr>
          <w:p w14:paraId="4DE25DD7" w14:textId="77777777" w:rsidR="005C065E" w:rsidRPr="003542CB" w:rsidRDefault="005C065E" w:rsidP="00E3584D">
            <w:pPr>
              <w:spacing w:after="0" w:line="280" w:lineRule="atLeast"/>
              <w:jc w:val="right"/>
              <w:rPr>
                <w:rFonts w:eastAsia="Times New Roman" w:cstheme="minorHAnsi"/>
                <w:color w:val="000000" w:themeColor="text1"/>
                <w:sz w:val="20"/>
                <w:szCs w:val="20"/>
                <w:lang w:eastAsia="cs-CZ"/>
              </w:rPr>
            </w:pPr>
            <w:r w:rsidRPr="003542CB">
              <w:rPr>
                <w:rFonts w:eastAsia="Times New Roman" w:cstheme="minorHAnsi"/>
                <w:color w:val="000000" w:themeColor="text1"/>
                <w:sz w:val="20"/>
                <w:szCs w:val="20"/>
                <w:lang w:eastAsia="cs-CZ"/>
              </w:rPr>
              <w:t>1,09</w:t>
            </w:r>
          </w:p>
        </w:tc>
      </w:tr>
      <w:tr w:rsidR="005C065E" w:rsidRPr="003542CB" w14:paraId="64223825" w14:textId="77777777" w:rsidTr="00D84197">
        <w:trPr>
          <w:trHeight w:val="300"/>
        </w:trPr>
        <w:tc>
          <w:tcPr>
            <w:tcW w:w="3420" w:type="dxa"/>
            <w:tcBorders>
              <w:top w:val="nil"/>
              <w:left w:val="single" w:sz="4" w:space="0" w:color="auto"/>
              <w:bottom w:val="single" w:sz="4" w:space="0" w:color="auto"/>
              <w:right w:val="single" w:sz="4" w:space="0" w:color="auto"/>
            </w:tcBorders>
            <w:shd w:val="clear" w:color="000000" w:fill="D9E1F2"/>
            <w:noWrap/>
            <w:vAlign w:val="bottom"/>
            <w:hideMark/>
          </w:tcPr>
          <w:p w14:paraId="5562F199" w14:textId="77777777" w:rsidR="005C065E" w:rsidRPr="003542CB" w:rsidRDefault="005C065E" w:rsidP="00E3584D">
            <w:pPr>
              <w:spacing w:after="0" w:line="280" w:lineRule="atLeas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HOSPODÁŘSKÝ VÝSLEDEK</w:t>
            </w:r>
          </w:p>
        </w:tc>
        <w:tc>
          <w:tcPr>
            <w:tcW w:w="1460" w:type="dxa"/>
            <w:tcBorders>
              <w:top w:val="nil"/>
              <w:left w:val="nil"/>
              <w:bottom w:val="single" w:sz="4" w:space="0" w:color="auto"/>
              <w:right w:val="single" w:sz="4" w:space="0" w:color="auto"/>
            </w:tcBorders>
            <w:shd w:val="clear" w:color="000000" w:fill="D9E1F2"/>
            <w:noWrap/>
            <w:vAlign w:val="bottom"/>
            <w:hideMark/>
          </w:tcPr>
          <w:p w14:paraId="4FDB704C" w14:textId="77777777" w:rsidR="005C065E" w:rsidRPr="003542CB" w:rsidRDefault="005C065E" w:rsidP="00E3584D">
            <w:pPr>
              <w:pStyle w:val="Odstavecseseznamem"/>
              <w:numPr>
                <w:ilvl w:val="0"/>
                <w:numId w:val="17"/>
              </w:num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917</w:t>
            </w:r>
          </w:p>
        </w:tc>
        <w:tc>
          <w:tcPr>
            <w:tcW w:w="1840" w:type="dxa"/>
            <w:tcBorders>
              <w:top w:val="nil"/>
              <w:left w:val="single" w:sz="4" w:space="0" w:color="auto"/>
              <w:bottom w:val="single" w:sz="4" w:space="0" w:color="auto"/>
              <w:right w:val="single" w:sz="4" w:space="0" w:color="auto"/>
            </w:tcBorders>
            <w:shd w:val="clear" w:color="000000" w:fill="D9E1F2"/>
            <w:noWrap/>
            <w:vAlign w:val="bottom"/>
            <w:hideMark/>
          </w:tcPr>
          <w:p w14:paraId="306FE32F"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cstheme="minorHAnsi"/>
                <w:b/>
                <w:bCs/>
                <w:color w:val="000000"/>
                <w:sz w:val="20"/>
                <w:szCs w:val="20"/>
              </w:rPr>
              <w:t>709</w:t>
            </w:r>
          </w:p>
        </w:tc>
        <w:tc>
          <w:tcPr>
            <w:tcW w:w="1960" w:type="dxa"/>
            <w:tcBorders>
              <w:top w:val="nil"/>
              <w:left w:val="nil"/>
              <w:bottom w:val="single" w:sz="4" w:space="0" w:color="auto"/>
              <w:right w:val="single" w:sz="4" w:space="0" w:color="auto"/>
            </w:tcBorders>
            <w:shd w:val="clear" w:color="000000" w:fill="D9E1F2"/>
            <w:noWrap/>
            <w:vAlign w:val="bottom"/>
            <w:hideMark/>
          </w:tcPr>
          <w:p w14:paraId="4F6B582B" w14:textId="77777777" w:rsidR="005C065E" w:rsidRPr="003542CB" w:rsidRDefault="005C065E" w:rsidP="00E3584D">
            <w:pPr>
              <w:spacing w:after="0" w:line="280" w:lineRule="atLeast"/>
              <w:jc w:val="right"/>
              <w:rPr>
                <w:rFonts w:eastAsia="Times New Roman" w:cstheme="minorHAnsi"/>
                <w:b/>
                <w:bCs/>
                <w:color w:val="000000" w:themeColor="text1"/>
                <w:sz w:val="20"/>
                <w:szCs w:val="20"/>
                <w:lang w:eastAsia="cs-CZ"/>
              </w:rPr>
            </w:pPr>
            <w:r w:rsidRPr="003542CB">
              <w:rPr>
                <w:rFonts w:eastAsia="Times New Roman" w:cstheme="minorHAnsi"/>
                <w:b/>
                <w:bCs/>
                <w:color w:val="000000" w:themeColor="text1"/>
                <w:sz w:val="20"/>
                <w:szCs w:val="20"/>
                <w:lang w:eastAsia="cs-CZ"/>
              </w:rPr>
              <w:t>- 1,29</w:t>
            </w:r>
          </w:p>
        </w:tc>
      </w:tr>
    </w:tbl>
    <w:p w14:paraId="30319560" w14:textId="77777777" w:rsidR="003166BB" w:rsidRPr="003542CB" w:rsidRDefault="003166BB" w:rsidP="00E3584D">
      <w:pPr>
        <w:spacing w:line="280" w:lineRule="atLeast"/>
        <w:jc w:val="both"/>
        <w:rPr>
          <w:rFonts w:cstheme="minorHAnsi"/>
          <w:color w:val="000000" w:themeColor="text1"/>
          <w:sz w:val="24"/>
          <w:szCs w:val="24"/>
        </w:rPr>
      </w:pPr>
    </w:p>
    <w:p w14:paraId="793C4D27" w14:textId="0E589CAC" w:rsidR="003166BB" w:rsidRPr="003542CB" w:rsidRDefault="000B4B0F"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V následujícím období Pojišťovna neplánuje rozšíření nabízených pojistných produktů a nadále očekává, že nosným produktem bude cestovní pojištění a doplňujícími produkty pak dětské úrazové pojištění a pojištění hospitalizace.</w:t>
      </w:r>
    </w:p>
    <w:p w14:paraId="15BEA4B3" w14:textId="77777777" w:rsidR="00637780" w:rsidRDefault="00637780" w:rsidP="00255CFD">
      <w:pPr>
        <w:spacing w:line="280" w:lineRule="atLeast"/>
        <w:jc w:val="both"/>
        <w:rPr>
          <w:rFonts w:cstheme="minorHAnsi"/>
          <w:color w:val="000000" w:themeColor="text1"/>
          <w:sz w:val="24"/>
          <w:szCs w:val="24"/>
        </w:rPr>
      </w:pPr>
    </w:p>
    <w:p w14:paraId="03596198" w14:textId="77777777" w:rsidR="00637780" w:rsidRDefault="00637780" w:rsidP="00255CFD">
      <w:pPr>
        <w:spacing w:line="280" w:lineRule="atLeast"/>
        <w:jc w:val="both"/>
        <w:rPr>
          <w:rFonts w:cstheme="minorHAnsi"/>
          <w:color w:val="000000" w:themeColor="text1"/>
          <w:sz w:val="24"/>
          <w:szCs w:val="24"/>
        </w:rPr>
      </w:pPr>
    </w:p>
    <w:p w14:paraId="27DE2469" w14:textId="77777777" w:rsidR="00F93879" w:rsidRDefault="00F93879">
      <w:pPr>
        <w:rPr>
          <w:rFonts w:cstheme="minorHAnsi"/>
          <w:color w:val="000000" w:themeColor="text1"/>
          <w:sz w:val="24"/>
          <w:szCs w:val="24"/>
        </w:rPr>
      </w:pPr>
      <w:r>
        <w:rPr>
          <w:rFonts w:cstheme="minorHAnsi"/>
          <w:color w:val="000000" w:themeColor="text1"/>
          <w:sz w:val="24"/>
          <w:szCs w:val="24"/>
        </w:rPr>
        <w:br w:type="page"/>
      </w:r>
    </w:p>
    <w:p w14:paraId="6329D2CB" w14:textId="3E4994CC" w:rsidR="00A12F62" w:rsidRPr="003542CB" w:rsidRDefault="00226BAF"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lastRenderedPageBreak/>
        <w:t>Pojišťovna</w:t>
      </w:r>
      <w:r w:rsidR="00A12F62" w:rsidRPr="003542CB">
        <w:rPr>
          <w:rFonts w:cstheme="minorHAnsi"/>
          <w:color w:val="000000" w:themeColor="text1"/>
          <w:sz w:val="24"/>
          <w:szCs w:val="24"/>
        </w:rPr>
        <w:t xml:space="preserve"> </w:t>
      </w:r>
      <w:r w:rsidR="002B41B8" w:rsidRPr="003542CB">
        <w:rPr>
          <w:rFonts w:cstheme="minorHAnsi"/>
          <w:color w:val="000000" w:themeColor="text1"/>
          <w:sz w:val="24"/>
          <w:szCs w:val="24"/>
        </w:rPr>
        <w:t>pokračuje v plnění</w:t>
      </w:r>
      <w:r w:rsidR="00A12F62" w:rsidRPr="003542CB">
        <w:rPr>
          <w:rFonts w:cstheme="minorHAnsi"/>
          <w:color w:val="000000" w:themeColor="text1"/>
          <w:sz w:val="24"/>
          <w:szCs w:val="24"/>
        </w:rPr>
        <w:t xml:space="preserve"> strategick</w:t>
      </w:r>
      <w:r w:rsidR="002B41B8" w:rsidRPr="003542CB">
        <w:rPr>
          <w:rFonts w:cstheme="minorHAnsi"/>
          <w:color w:val="000000" w:themeColor="text1"/>
          <w:sz w:val="24"/>
          <w:szCs w:val="24"/>
        </w:rPr>
        <w:t>ého</w:t>
      </w:r>
      <w:r w:rsidR="00A12F62" w:rsidRPr="003542CB">
        <w:rPr>
          <w:rFonts w:cstheme="minorHAnsi"/>
          <w:color w:val="000000" w:themeColor="text1"/>
          <w:sz w:val="24"/>
          <w:szCs w:val="24"/>
        </w:rPr>
        <w:t xml:space="preserve"> rám</w:t>
      </w:r>
      <w:r w:rsidR="002B41B8" w:rsidRPr="003542CB">
        <w:rPr>
          <w:rFonts w:cstheme="minorHAnsi"/>
          <w:color w:val="000000" w:themeColor="text1"/>
          <w:sz w:val="24"/>
          <w:szCs w:val="24"/>
        </w:rPr>
        <w:t>ce</w:t>
      </w:r>
      <w:r w:rsidR="00A12F62" w:rsidRPr="003542CB">
        <w:rPr>
          <w:rFonts w:cstheme="minorHAnsi"/>
          <w:color w:val="000000" w:themeColor="text1"/>
          <w:sz w:val="24"/>
          <w:szCs w:val="24"/>
        </w:rPr>
        <w:t xml:space="preserve"> svých aktivit:</w:t>
      </w:r>
      <w:r w:rsidR="00CB490B" w:rsidRPr="003542CB">
        <w:rPr>
          <w:rFonts w:cstheme="minorHAnsi"/>
          <w:color w:val="000000" w:themeColor="text1"/>
          <w:sz w:val="24"/>
          <w:szCs w:val="24"/>
        </w:rPr>
        <w:t xml:space="preserve">   </w:t>
      </w:r>
    </w:p>
    <w:p w14:paraId="5688AB3C" w14:textId="77777777" w:rsidR="00A12F62" w:rsidRPr="003542CB" w:rsidRDefault="00A12F62" w:rsidP="00255CFD">
      <w:pPr>
        <w:spacing w:line="280" w:lineRule="atLeast"/>
        <w:ind w:left="709" w:hanging="425"/>
        <w:jc w:val="both"/>
        <w:rPr>
          <w:rFonts w:cstheme="minorHAnsi"/>
          <w:color w:val="000000" w:themeColor="text1"/>
          <w:sz w:val="24"/>
          <w:szCs w:val="24"/>
        </w:rPr>
      </w:pPr>
      <w:r w:rsidRPr="003542CB">
        <w:rPr>
          <w:rFonts w:cstheme="minorHAnsi"/>
          <w:color w:val="000000" w:themeColor="text1"/>
          <w:sz w:val="24"/>
          <w:szCs w:val="24"/>
        </w:rPr>
        <w:t xml:space="preserve">• </w:t>
      </w:r>
      <w:r w:rsidRPr="003542CB">
        <w:rPr>
          <w:rFonts w:cstheme="minorHAnsi"/>
          <w:color w:val="000000" w:themeColor="text1"/>
          <w:sz w:val="24"/>
          <w:szCs w:val="24"/>
        </w:rPr>
        <w:tab/>
      </w:r>
      <w:proofErr w:type="gramStart"/>
      <w:r w:rsidRPr="003542CB">
        <w:rPr>
          <w:rFonts w:cstheme="minorHAnsi"/>
          <w:b/>
          <w:color w:val="000000" w:themeColor="text1"/>
          <w:sz w:val="24"/>
          <w:szCs w:val="24"/>
        </w:rPr>
        <w:t>mise</w:t>
      </w:r>
      <w:r w:rsidRPr="003542CB">
        <w:rPr>
          <w:rFonts w:cstheme="minorHAnsi"/>
          <w:color w:val="000000" w:themeColor="text1"/>
          <w:sz w:val="24"/>
          <w:szCs w:val="24"/>
        </w:rPr>
        <w:t xml:space="preserve"> - uspokojování</w:t>
      </w:r>
      <w:proofErr w:type="gramEnd"/>
      <w:r w:rsidRPr="003542CB">
        <w:rPr>
          <w:rFonts w:cstheme="minorHAnsi"/>
          <w:color w:val="000000" w:themeColor="text1"/>
          <w:sz w:val="24"/>
          <w:szCs w:val="24"/>
        </w:rPr>
        <w:t xml:space="preserve"> potřeb a požadavků klientů v oblasti neživotního pojištění / pojištění osob, s využitím synerg</w:t>
      </w:r>
      <w:r w:rsidR="0088466D" w:rsidRPr="003542CB">
        <w:rPr>
          <w:rFonts w:cstheme="minorHAnsi"/>
          <w:color w:val="000000" w:themeColor="text1"/>
          <w:sz w:val="24"/>
          <w:szCs w:val="24"/>
        </w:rPr>
        <w:t>ických efektů spolupráce s OZP;</w:t>
      </w:r>
      <w:r w:rsidRPr="003542CB">
        <w:rPr>
          <w:rFonts w:cstheme="minorHAnsi"/>
          <w:color w:val="000000" w:themeColor="text1"/>
          <w:sz w:val="24"/>
          <w:szCs w:val="24"/>
        </w:rPr>
        <w:t xml:space="preserve"> </w:t>
      </w:r>
    </w:p>
    <w:p w14:paraId="541DEF71" w14:textId="77777777" w:rsidR="00A12F62" w:rsidRPr="003542CB" w:rsidRDefault="00A12F62" w:rsidP="00255CFD">
      <w:pPr>
        <w:spacing w:line="280" w:lineRule="atLeast"/>
        <w:ind w:left="709" w:hanging="425"/>
        <w:jc w:val="both"/>
        <w:rPr>
          <w:rFonts w:cstheme="minorHAnsi"/>
          <w:color w:val="000000" w:themeColor="text1"/>
          <w:sz w:val="24"/>
          <w:szCs w:val="24"/>
        </w:rPr>
      </w:pPr>
      <w:r w:rsidRPr="003542CB">
        <w:rPr>
          <w:rFonts w:cstheme="minorHAnsi"/>
          <w:color w:val="000000" w:themeColor="text1"/>
          <w:sz w:val="24"/>
          <w:szCs w:val="24"/>
        </w:rPr>
        <w:t xml:space="preserve">• </w:t>
      </w:r>
      <w:r w:rsidRPr="003542CB">
        <w:rPr>
          <w:rFonts w:cstheme="minorHAnsi"/>
          <w:color w:val="000000" w:themeColor="text1"/>
          <w:sz w:val="24"/>
          <w:szCs w:val="24"/>
        </w:rPr>
        <w:tab/>
      </w:r>
      <w:proofErr w:type="gramStart"/>
      <w:r w:rsidRPr="003542CB">
        <w:rPr>
          <w:rFonts w:cstheme="minorHAnsi"/>
          <w:b/>
          <w:color w:val="000000" w:themeColor="text1"/>
          <w:sz w:val="24"/>
          <w:szCs w:val="24"/>
        </w:rPr>
        <w:t>vize</w:t>
      </w:r>
      <w:r w:rsidRPr="003542CB">
        <w:rPr>
          <w:rFonts w:cstheme="minorHAnsi"/>
          <w:color w:val="000000" w:themeColor="text1"/>
          <w:sz w:val="24"/>
          <w:szCs w:val="24"/>
        </w:rPr>
        <w:t xml:space="preserve"> - budování</w:t>
      </w:r>
      <w:proofErr w:type="gramEnd"/>
      <w:r w:rsidRPr="003542CB">
        <w:rPr>
          <w:rFonts w:cstheme="minorHAnsi"/>
          <w:color w:val="000000" w:themeColor="text1"/>
          <w:sz w:val="24"/>
          <w:szCs w:val="24"/>
        </w:rPr>
        <w:t xml:space="preserve"> moderní komerční pojišťovny, pro kterou je charakteristická vysoká flexibilita, procesní orientace a řízen</w:t>
      </w:r>
      <w:r w:rsidR="0088466D" w:rsidRPr="003542CB">
        <w:rPr>
          <w:rFonts w:cstheme="minorHAnsi"/>
          <w:color w:val="000000" w:themeColor="text1"/>
          <w:sz w:val="24"/>
          <w:szCs w:val="24"/>
        </w:rPr>
        <w:t>í, štíhlá infrastruktura;</w:t>
      </w:r>
    </w:p>
    <w:p w14:paraId="1B77A94E" w14:textId="77777777" w:rsidR="00A12F62" w:rsidRPr="003542CB" w:rsidRDefault="00A12F62" w:rsidP="00255CFD">
      <w:pPr>
        <w:spacing w:line="280" w:lineRule="atLeast"/>
        <w:ind w:left="709" w:hanging="425"/>
        <w:jc w:val="both"/>
        <w:rPr>
          <w:rFonts w:cstheme="minorHAnsi"/>
          <w:color w:val="000000" w:themeColor="text1"/>
          <w:sz w:val="24"/>
          <w:szCs w:val="24"/>
        </w:rPr>
      </w:pPr>
      <w:r w:rsidRPr="003542CB">
        <w:rPr>
          <w:rFonts w:cstheme="minorHAnsi"/>
          <w:color w:val="000000" w:themeColor="text1"/>
          <w:sz w:val="24"/>
          <w:szCs w:val="24"/>
        </w:rPr>
        <w:t xml:space="preserve">• </w:t>
      </w:r>
      <w:r w:rsidRPr="003542CB">
        <w:rPr>
          <w:rFonts w:cstheme="minorHAnsi"/>
          <w:color w:val="000000" w:themeColor="text1"/>
          <w:sz w:val="24"/>
          <w:szCs w:val="24"/>
        </w:rPr>
        <w:tab/>
      </w:r>
      <w:r w:rsidRPr="003542CB">
        <w:rPr>
          <w:rFonts w:cstheme="minorHAnsi"/>
          <w:b/>
          <w:color w:val="000000" w:themeColor="text1"/>
          <w:sz w:val="24"/>
          <w:szCs w:val="24"/>
        </w:rPr>
        <w:t>obchodní strategie</w:t>
      </w:r>
      <w:r w:rsidRPr="003542CB">
        <w:rPr>
          <w:rFonts w:cstheme="minorHAnsi"/>
          <w:color w:val="000000" w:themeColor="text1"/>
          <w:sz w:val="24"/>
          <w:szCs w:val="24"/>
        </w:rPr>
        <w:t xml:space="preserve"> </w:t>
      </w:r>
      <w:r w:rsidR="0088466D" w:rsidRPr="003542CB">
        <w:rPr>
          <w:rFonts w:cstheme="minorHAnsi"/>
          <w:color w:val="000000" w:themeColor="text1"/>
          <w:sz w:val="24"/>
          <w:szCs w:val="24"/>
        </w:rPr>
        <w:t>–</w:t>
      </w:r>
      <w:r w:rsidRPr="003542CB">
        <w:rPr>
          <w:rFonts w:cstheme="minorHAnsi"/>
          <w:color w:val="000000" w:themeColor="text1"/>
          <w:sz w:val="24"/>
          <w:szCs w:val="24"/>
        </w:rPr>
        <w:t xml:space="preserve"> </w:t>
      </w:r>
      <w:r w:rsidR="0088466D" w:rsidRPr="003542CB">
        <w:rPr>
          <w:rFonts w:cstheme="minorHAnsi"/>
          <w:color w:val="000000" w:themeColor="text1"/>
          <w:sz w:val="24"/>
          <w:szCs w:val="24"/>
        </w:rPr>
        <w:t xml:space="preserve">nabízet cílovým klientům </w:t>
      </w:r>
      <w:r w:rsidRPr="003542CB">
        <w:rPr>
          <w:rFonts w:cstheme="minorHAnsi"/>
          <w:color w:val="000000" w:themeColor="text1"/>
          <w:sz w:val="24"/>
          <w:szCs w:val="24"/>
        </w:rPr>
        <w:t>moderní portfolio produktů</w:t>
      </w:r>
      <w:r w:rsidR="0088466D" w:rsidRPr="003542CB">
        <w:rPr>
          <w:rFonts w:cstheme="minorHAnsi"/>
          <w:color w:val="000000" w:themeColor="text1"/>
          <w:sz w:val="24"/>
          <w:szCs w:val="24"/>
        </w:rPr>
        <w:t xml:space="preserve">, které je </w:t>
      </w:r>
      <w:r w:rsidRPr="003542CB">
        <w:rPr>
          <w:rFonts w:cstheme="minorHAnsi"/>
          <w:color w:val="000000" w:themeColor="text1"/>
          <w:sz w:val="24"/>
          <w:szCs w:val="24"/>
        </w:rPr>
        <w:t xml:space="preserve">průběžně optimalizováno podle </w:t>
      </w:r>
      <w:r w:rsidR="0088466D" w:rsidRPr="003542CB">
        <w:rPr>
          <w:rFonts w:cstheme="minorHAnsi"/>
          <w:color w:val="000000" w:themeColor="text1"/>
          <w:sz w:val="24"/>
          <w:szCs w:val="24"/>
        </w:rPr>
        <w:t>jejich potřeb a požadavků.</w:t>
      </w:r>
    </w:p>
    <w:p w14:paraId="132D5152" w14:textId="77777777" w:rsidR="00F40BE3" w:rsidRPr="003542CB" w:rsidRDefault="00F40BE3" w:rsidP="00E3584D">
      <w:pPr>
        <w:spacing w:line="280" w:lineRule="atLeast"/>
        <w:ind w:firstLine="708"/>
        <w:jc w:val="both"/>
        <w:rPr>
          <w:rFonts w:cstheme="minorHAnsi"/>
          <w:color w:val="000000" w:themeColor="text1"/>
          <w:sz w:val="24"/>
          <w:szCs w:val="24"/>
        </w:rPr>
      </w:pPr>
    </w:p>
    <w:p w14:paraId="4C957B59" w14:textId="5F4BF30D" w:rsidR="00283117" w:rsidRPr="003542CB" w:rsidRDefault="00283117" w:rsidP="00255CFD">
      <w:pPr>
        <w:pStyle w:val="Nadpis2"/>
        <w:spacing w:after="120" w:line="280" w:lineRule="atLeast"/>
        <w:rPr>
          <w:rFonts w:asciiTheme="minorHAnsi" w:hAnsiTheme="minorHAnsi" w:cstheme="minorHAnsi"/>
          <w:b/>
          <w:color w:val="000000" w:themeColor="text1"/>
        </w:rPr>
      </w:pPr>
      <w:bookmarkStart w:id="16" w:name="_Toc75366885"/>
      <w:r w:rsidRPr="003542CB">
        <w:rPr>
          <w:rFonts w:asciiTheme="minorHAnsi" w:hAnsiTheme="minorHAnsi" w:cstheme="minorHAnsi"/>
          <w:b/>
          <w:color w:val="000000" w:themeColor="text1"/>
        </w:rPr>
        <w:t xml:space="preserve">3.5. Výsledky </w:t>
      </w:r>
      <w:r w:rsidR="001739CC" w:rsidRPr="003542CB">
        <w:rPr>
          <w:rFonts w:asciiTheme="minorHAnsi" w:hAnsiTheme="minorHAnsi" w:cstheme="minorHAnsi"/>
          <w:b/>
          <w:color w:val="000000" w:themeColor="text1"/>
        </w:rPr>
        <w:t>Pojišťovny</w:t>
      </w:r>
      <w:r w:rsidRPr="003542CB">
        <w:rPr>
          <w:rFonts w:asciiTheme="minorHAnsi" w:hAnsiTheme="minorHAnsi" w:cstheme="minorHAnsi"/>
          <w:b/>
          <w:color w:val="000000" w:themeColor="text1"/>
        </w:rPr>
        <w:t xml:space="preserve"> za rok 20</w:t>
      </w:r>
      <w:r w:rsidR="00D757AA" w:rsidRPr="003542CB">
        <w:rPr>
          <w:rFonts w:asciiTheme="minorHAnsi" w:hAnsiTheme="minorHAnsi" w:cstheme="minorHAnsi"/>
          <w:b/>
          <w:color w:val="000000" w:themeColor="text1"/>
        </w:rPr>
        <w:t>20</w:t>
      </w:r>
      <w:r w:rsidRPr="003542CB">
        <w:rPr>
          <w:rFonts w:asciiTheme="minorHAnsi" w:hAnsiTheme="minorHAnsi" w:cstheme="minorHAnsi"/>
          <w:b/>
          <w:color w:val="000000" w:themeColor="text1"/>
        </w:rPr>
        <w:t xml:space="preserve"> v oblasti investic</w:t>
      </w:r>
      <w:bookmarkEnd w:id="16"/>
    </w:p>
    <w:p w14:paraId="1A0B7F57" w14:textId="77777777" w:rsidR="00A11262" w:rsidRPr="003542CB" w:rsidRDefault="00A11262"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Investiční činnost ve sledovaném období respektovala investiční strategii vymezenou interní směrnicí. Rozhodování o investicích je v kompetenci představenstva, které činí rozhodnutí na základě doporučení dozorčí rady. Tato rozhodnutí musí být v souladu se zvolenou investiční strategií a za využití </w:t>
      </w:r>
      <w:r w:rsidR="00A82130" w:rsidRPr="003542CB">
        <w:rPr>
          <w:rFonts w:cstheme="minorHAnsi"/>
          <w:color w:val="000000" w:themeColor="text1"/>
          <w:sz w:val="24"/>
          <w:szCs w:val="24"/>
        </w:rPr>
        <w:t xml:space="preserve">stanovených </w:t>
      </w:r>
      <w:r w:rsidRPr="003542CB">
        <w:rPr>
          <w:rFonts w:cstheme="minorHAnsi"/>
          <w:color w:val="000000" w:themeColor="text1"/>
          <w:sz w:val="24"/>
          <w:szCs w:val="24"/>
        </w:rPr>
        <w:t>finančních instrumentů</w:t>
      </w:r>
      <w:r w:rsidR="00A82130" w:rsidRPr="003542CB">
        <w:rPr>
          <w:rFonts w:cstheme="minorHAnsi"/>
          <w:color w:val="000000" w:themeColor="text1"/>
          <w:sz w:val="24"/>
          <w:szCs w:val="24"/>
        </w:rPr>
        <w:t>.</w:t>
      </w:r>
    </w:p>
    <w:p w14:paraId="4620DD29" w14:textId="415D2732" w:rsidR="00A6787B" w:rsidRPr="003542CB" w:rsidRDefault="007912DC"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V průběhu roku 20</w:t>
      </w:r>
      <w:r w:rsidR="004A2127" w:rsidRPr="003542CB">
        <w:rPr>
          <w:rFonts w:cstheme="minorHAnsi"/>
          <w:color w:val="000000" w:themeColor="text1"/>
          <w:sz w:val="24"/>
          <w:szCs w:val="24"/>
        </w:rPr>
        <w:t>20</w:t>
      </w:r>
      <w:r w:rsidRPr="003542CB">
        <w:rPr>
          <w:rFonts w:cstheme="minorHAnsi"/>
          <w:color w:val="000000" w:themeColor="text1"/>
          <w:sz w:val="24"/>
          <w:szCs w:val="24"/>
        </w:rPr>
        <w:t xml:space="preserve"> bylo řešeno finanční umístění investic v celkové výši 139 500 000,- Kč. Představenstvo rozhodlo postupně o finančním umístění ve formě termínovaných a jim podobných vkladů. </w:t>
      </w:r>
      <w:r w:rsidR="002C6B38" w:rsidRPr="003542CB">
        <w:rPr>
          <w:rFonts w:cstheme="minorHAnsi"/>
          <w:color w:val="000000" w:themeColor="text1"/>
          <w:sz w:val="24"/>
          <w:szCs w:val="24"/>
        </w:rPr>
        <w:t>Hlavním kritériem výběru finanční instituce byla stabilita</w:t>
      </w:r>
      <w:r w:rsidR="00F40BE3" w:rsidRPr="003542CB">
        <w:rPr>
          <w:rFonts w:cstheme="minorHAnsi"/>
          <w:color w:val="000000" w:themeColor="text1"/>
          <w:sz w:val="24"/>
          <w:szCs w:val="24"/>
        </w:rPr>
        <w:t>, transparentnost</w:t>
      </w:r>
      <w:r w:rsidR="002C6B38" w:rsidRPr="003542CB">
        <w:rPr>
          <w:rFonts w:cstheme="minorHAnsi"/>
          <w:color w:val="000000" w:themeColor="text1"/>
          <w:sz w:val="24"/>
          <w:szCs w:val="24"/>
        </w:rPr>
        <w:t xml:space="preserve"> a minimalizace rizik</w:t>
      </w:r>
      <w:r w:rsidR="00872627" w:rsidRPr="003542CB">
        <w:rPr>
          <w:rFonts w:cstheme="minorHAnsi"/>
          <w:color w:val="000000" w:themeColor="text1"/>
          <w:sz w:val="24"/>
          <w:szCs w:val="24"/>
        </w:rPr>
        <w:t xml:space="preserve">. </w:t>
      </w:r>
      <w:r w:rsidR="00CE6455" w:rsidRPr="003542CB">
        <w:rPr>
          <w:rFonts w:cstheme="minorHAnsi"/>
          <w:color w:val="000000" w:themeColor="text1"/>
          <w:sz w:val="24"/>
          <w:szCs w:val="24"/>
        </w:rPr>
        <w:t>Podobná konzervativní strategie investování bude uplat</w:t>
      </w:r>
      <w:r w:rsidR="00A63B33" w:rsidRPr="003542CB">
        <w:rPr>
          <w:rFonts w:cstheme="minorHAnsi"/>
          <w:color w:val="000000" w:themeColor="text1"/>
          <w:sz w:val="24"/>
          <w:szCs w:val="24"/>
        </w:rPr>
        <w:t>ňována i</w:t>
      </w:r>
      <w:r w:rsidR="00CE6455" w:rsidRPr="003542CB">
        <w:rPr>
          <w:rFonts w:cstheme="minorHAnsi"/>
          <w:color w:val="000000" w:themeColor="text1"/>
          <w:sz w:val="24"/>
          <w:szCs w:val="24"/>
        </w:rPr>
        <w:t xml:space="preserve"> ve střednědobém horizontu.</w:t>
      </w:r>
    </w:p>
    <w:p w14:paraId="509A1D8F" w14:textId="09851D1E" w:rsidR="00C52B98" w:rsidRPr="003542CB" w:rsidRDefault="00C52B98"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Během roku 20</w:t>
      </w:r>
      <w:r w:rsidR="004A2127" w:rsidRPr="003542CB">
        <w:rPr>
          <w:rFonts w:cstheme="minorHAnsi"/>
          <w:color w:val="000000" w:themeColor="text1"/>
          <w:sz w:val="24"/>
          <w:szCs w:val="24"/>
        </w:rPr>
        <w:t>20</w:t>
      </w:r>
      <w:r w:rsidRPr="003542CB">
        <w:rPr>
          <w:rFonts w:cstheme="minorHAnsi"/>
          <w:color w:val="000000" w:themeColor="text1"/>
          <w:sz w:val="24"/>
          <w:szCs w:val="24"/>
        </w:rPr>
        <w:t xml:space="preserve"> činily celkové náklady na finanční umístění </w:t>
      </w:r>
      <w:r w:rsidR="00460EB4" w:rsidRPr="003542CB">
        <w:rPr>
          <w:rFonts w:cstheme="minorHAnsi"/>
          <w:color w:val="000000" w:themeColor="text1"/>
          <w:sz w:val="24"/>
          <w:szCs w:val="24"/>
        </w:rPr>
        <w:t>429</w:t>
      </w:r>
      <w:r w:rsidRPr="003542CB">
        <w:rPr>
          <w:rFonts w:cstheme="minorHAnsi"/>
          <w:color w:val="000000" w:themeColor="text1"/>
          <w:sz w:val="24"/>
          <w:szCs w:val="24"/>
        </w:rPr>
        <w:t xml:space="preserve"> tis. Kč. Největší podíl na těchto nákladech mělo rozpouštění nákladů na dluhopisy, tedy průběžné rozpouštění rozdílu mezi pořizovací a jmenovitou hodnotou. </w:t>
      </w:r>
    </w:p>
    <w:p w14:paraId="436CDFB3" w14:textId="367AC311" w:rsidR="00C52B98" w:rsidRPr="003542CB" w:rsidRDefault="00C52B98"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Výnosy na zmiňovaných používaných finančních instrumentech činily v roce 20</w:t>
      </w:r>
      <w:r w:rsidR="00460EB4" w:rsidRPr="003542CB">
        <w:rPr>
          <w:rFonts w:cstheme="minorHAnsi"/>
          <w:color w:val="000000" w:themeColor="text1"/>
          <w:sz w:val="24"/>
          <w:szCs w:val="24"/>
        </w:rPr>
        <w:t>20</w:t>
      </w:r>
      <w:r w:rsidRPr="003542CB">
        <w:rPr>
          <w:rFonts w:cstheme="minorHAnsi"/>
          <w:color w:val="000000" w:themeColor="text1"/>
          <w:sz w:val="24"/>
          <w:szCs w:val="24"/>
        </w:rPr>
        <w:t xml:space="preserve"> celkem 2 </w:t>
      </w:r>
      <w:r w:rsidR="00E60368" w:rsidRPr="003542CB">
        <w:rPr>
          <w:rFonts w:cstheme="minorHAnsi"/>
          <w:color w:val="000000" w:themeColor="text1"/>
          <w:sz w:val="24"/>
          <w:szCs w:val="24"/>
        </w:rPr>
        <w:t>764</w:t>
      </w:r>
      <w:r w:rsidRPr="003542CB">
        <w:rPr>
          <w:rFonts w:cstheme="minorHAnsi"/>
          <w:color w:val="000000" w:themeColor="text1"/>
          <w:sz w:val="24"/>
          <w:szCs w:val="24"/>
        </w:rPr>
        <w:t xml:space="preserve"> tis. Kč. Největší podíl na této částce mají termínované vklady (</w:t>
      </w:r>
      <w:r w:rsidR="0045622E" w:rsidRPr="003542CB">
        <w:rPr>
          <w:rFonts w:cstheme="minorHAnsi"/>
          <w:color w:val="000000" w:themeColor="text1"/>
          <w:sz w:val="24"/>
          <w:szCs w:val="24"/>
        </w:rPr>
        <w:t>2 329</w:t>
      </w:r>
      <w:r w:rsidRPr="003542CB">
        <w:rPr>
          <w:rFonts w:cstheme="minorHAnsi"/>
          <w:color w:val="000000" w:themeColor="text1"/>
          <w:sz w:val="24"/>
          <w:szCs w:val="24"/>
        </w:rPr>
        <w:t> tis. Kč), zbylá část jsou výnosy z dluhopisů (</w:t>
      </w:r>
      <w:r w:rsidR="00DD79F8" w:rsidRPr="003542CB">
        <w:rPr>
          <w:rFonts w:cstheme="minorHAnsi"/>
          <w:color w:val="000000" w:themeColor="text1"/>
          <w:sz w:val="24"/>
          <w:szCs w:val="24"/>
        </w:rPr>
        <w:t>435</w:t>
      </w:r>
      <w:r w:rsidRPr="003542CB">
        <w:rPr>
          <w:rFonts w:cstheme="minorHAnsi"/>
          <w:color w:val="000000" w:themeColor="text1"/>
          <w:sz w:val="24"/>
          <w:szCs w:val="24"/>
        </w:rPr>
        <w:t xml:space="preserve"> tis. Kč).</w:t>
      </w:r>
    </w:p>
    <w:p w14:paraId="1090CC41" w14:textId="5387AAD9" w:rsidR="00F40BE3" w:rsidRPr="003542CB" w:rsidRDefault="00F40BE3"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Pojišťovna si </w:t>
      </w:r>
      <w:r w:rsidR="00A53203" w:rsidRPr="003542CB">
        <w:rPr>
          <w:rFonts w:cstheme="minorHAnsi"/>
          <w:color w:val="000000" w:themeColor="text1"/>
          <w:sz w:val="24"/>
          <w:szCs w:val="24"/>
        </w:rPr>
        <w:t>uvědomuje</w:t>
      </w:r>
      <w:r w:rsidRPr="003542CB">
        <w:rPr>
          <w:rFonts w:cstheme="minorHAnsi"/>
          <w:color w:val="000000" w:themeColor="text1"/>
          <w:sz w:val="24"/>
          <w:szCs w:val="24"/>
        </w:rPr>
        <w:t>, že současná konzervativní investiční strategie přináší velmi omezené možnosti výnosů, nicméně před výnosy upřednostňuje bezpečnost investic a minimalizaci rizik</w:t>
      </w:r>
      <w:r w:rsidR="00A41DE4" w:rsidRPr="003542CB">
        <w:rPr>
          <w:rFonts w:cstheme="minorHAnsi"/>
          <w:color w:val="000000" w:themeColor="text1"/>
          <w:sz w:val="24"/>
          <w:szCs w:val="24"/>
        </w:rPr>
        <w:t xml:space="preserve"> spojených s investiční činností</w:t>
      </w:r>
    </w:p>
    <w:p w14:paraId="669C56BF" w14:textId="77777777" w:rsidR="008B6F88" w:rsidRPr="003542CB" w:rsidRDefault="008B6F88" w:rsidP="00E3584D">
      <w:pPr>
        <w:pStyle w:val="Nadpis2"/>
        <w:spacing w:line="280" w:lineRule="atLeast"/>
        <w:rPr>
          <w:rFonts w:asciiTheme="minorHAnsi" w:hAnsiTheme="minorHAnsi" w:cstheme="minorHAnsi"/>
          <w:b/>
          <w:color w:val="000000" w:themeColor="text1"/>
        </w:rPr>
      </w:pPr>
    </w:p>
    <w:p w14:paraId="16B8BE92" w14:textId="77777777" w:rsidR="002B41B8" w:rsidRPr="003542CB" w:rsidRDefault="002B41B8" w:rsidP="00255CFD">
      <w:pPr>
        <w:pStyle w:val="Nadpis2"/>
        <w:spacing w:after="120" w:line="280" w:lineRule="atLeast"/>
        <w:rPr>
          <w:rFonts w:asciiTheme="minorHAnsi" w:hAnsiTheme="minorHAnsi" w:cstheme="minorHAnsi"/>
          <w:b/>
          <w:color w:val="000000" w:themeColor="text1"/>
        </w:rPr>
      </w:pPr>
      <w:bookmarkStart w:id="17" w:name="_Toc75366886"/>
      <w:r w:rsidRPr="003542CB">
        <w:rPr>
          <w:rFonts w:asciiTheme="minorHAnsi" w:hAnsiTheme="minorHAnsi" w:cstheme="minorHAnsi"/>
          <w:b/>
          <w:color w:val="000000" w:themeColor="text1"/>
        </w:rPr>
        <w:t>3.6. Zajištění</w:t>
      </w:r>
      <w:bookmarkEnd w:id="17"/>
    </w:p>
    <w:p w14:paraId="7A588BA5" w14:textId="77777777" w:rsidR="00C52B98" w:rsidRPr="003542CB" w:rsidRDefault="002B41B8"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Zcela zásadní technika z pohledu minimalizace rizik je pro Pojišťovnu zajištění. Jako zajišťovna je využívána společnost General </w:t>
      </w:r>
      <w:proofErr w:type="spellStart"/>
      <w:r w:rsidRPr="003542CB">
        <w:rPr>
          <w:rFonts w:cstheme="minorHAnsi"/>
          <w:color w:val="000000" w:themeColor="text1"/>
          <w:sz w:val="24"/>
          <w:szCs w:val="24"/>
        </w:rPr>
        <w:t>Reinsurance</w:t>
      </w:r>
      <w:proofErr w:type="spellEnd"/>
      <w:r w:rsidRPr="003542CB">
        <w:rPr>
          <w:rFonts w:cstheme="minorHAnsi"/>
          <w:color w:val="000000" w:themeColor="text1"/>
          <w:sz w:val="24"/>
          <w:szCs w:val="24"/>
        </w:rPr>
        <w:t xml:space="preserve"> AG, která má vynikající rating hned od tří agentur. Konkrétně od Standard &amp; </w:t>
      </w:r>
      <w:proofErr w:type="spellStart"/>
      <w:r w:rsidRPr="003542CB">
        <w:rPr>
          <w:rFonts w:cstheme="minorHAnsi"/>
          <w:color w:val="000000" w:themeColor="text1"/>
          <w:sz w:val="24"/>
          <w:szCs w:val="24"/>
        </w:rPr>
        <w:t>Poor´s</w:t>
      </w:r>
      <w:proofErr w:type="spellEnd"/>
      <w:r w:rsidRPr="003542CB">
        <w:rPr>
          <w:rFonts w:cstheme="minorHAnsi"/>
          <w:color w:val="000000" w:themeColor="text1"/>
          <w:sz w:val="24"/>
          <w:szCs w:val="24"/>
        </w:rPr>
        <w:t xml:space="preserve"> obdržela rating AA+, od </w:t>
      </w:r>
      <w:proofErr w:type="spellStart"/>
      <w:r w:rsidRPr="003542CB">
        <w:rPr>
          <w:rFonts w:cstheme="minorHAnsi"/>
          <w:color w:val="000000" w:themeColor="text1"/>
          <w:sz w:val="24"/>
          <w:szCs w:val="24"/>
        </w:rPr>
        <w:t>Moody´s</w:t>
      </w:r>
      <w:proofErr w:type="spellEnd"/>
      <w:r w:rsidRPr="003542CB">
        <w:rPr>
          <w:rFonts w:cstheme="minorHAnsi"/>
          <w:color w:val="000000" w:themeColor="text1"/>
          <w:sz w:val="24"/>
          <w:szCs w:val="24"/>
        </w:rPr>
        <w:t xml:space="preserve"> hodnocení Aa1 a od agentury </w:t>
      </w:r>
      <w:proofErr w:type="spellStart"/>
      <w:r w:rsidRPr="003542CB">
        <w:rPr>
          <w:rFonts w:cstheme="minorHAnsi"/>
          <w:color w:val="000000" w:themeColor="text1"/>
          <w:sz w:val="24"/>
          <w:szCs w:val="24"/>
        </w:rPr>
        <w:t>A.M.Best</w:t>
      </w:r>
      <w:proofErr w:type="spellEnd"/>
      <w:r w:rsidRPr="003542CB">
        <w:rPr>
          <w:rFonts w:cstheme="minorHAnsi"/>
          <w:color w:val="000000" w:themeColor="text1"/>
          <w:sz w:val="24"/>
          <w:szCs w:val="24"/>
        </w:rPr>
        <w:t xml:space="preserve"> má rating A++. </w:t>
      </w:r>
      <w:r w:rsidR="00C52B98" w:rsidRPr="003542CB">
        <w:rPr>
          <w:rFonts w:cstheme="minorHAnsi"/>
          <w:color w:val="000000" w:themeColor="text1"/>
          <w:sz w:val="24"/>
          <w:szCs w:val="24"/>
        </w:rPr>
        <w:t>Pojišťovna spolupracuje s touto zajišťovnou již od svého založení od roku 2003 a po celou dobu je spolupráce na principu ročních zajistných smluv.</w:t>
      </w:r>
    </w:p>
    <w:p w14:paraId="5AA24DA0" w14:textId="720C9A0A" w:rsidR="00454ADE" w:rsidRPr="003542CB" w:rsidRDefault="00B52FA6" w:rsidP="00255CFD">
      <w:pPr>
        <w:spacing w:line="280" w:lineRule="atLeast"/>
        <w:jc w:val="both"/>
        <w:rPr>
          <w:rFonts w:cstheme="minorHAnsi"/>
          <w:color w:val="000000" w:themeColor="text1"/>
          <w:sz w:val="24"/>
          <w:szCs w:val="24"/>
        </w:rPr>
      </w:pPr>
      <w:r w:rsidRPr="003542CB">
        <w:rPr>
          <w:rFonts w:cstheme="minorHAnsi"/>
          <w:color w:val="000000" w:themeColor="text1"/>
          <w:sz w:val="24"/>
          <w:szCs w:val="24"/>
        </w:rPr>
        <w:t>Vývoj pojistných událostí během sledovaného období, kdy sice pojistné události ze sledovaného období nebyly vysoké, ale došlo k plnění ve spojitosti se škodami z předchozích let, které bylo na vrub zajistitele, způsobil, že Pojišťovně stoupla zajistná sazba</w:t>
      </w:r>
      <w:r w:rsidR="000E41BA" w:rsidRPr="003542CB">
        <w:rPr>
          <w:rFonts w:cstheme="minorHAnsi"/>
          <w:color w:val="000000" w:themeColor="text1"/>
          <w:sz w:val="24"/>
          <w:szCs w:val="24"/>
        </w:rPr>
        <w:t>.</w:t>
      </w:r>
    </w:p>
    <w:p w14:paraId="687E60AD" w14:textId="77777777" w:rsidR="000E41BA" w:rsidRPr="003542CB" w:rsidRDefault="000E41BA" w:rsidP="00E3584D">
      <w:pPr>
        <w:spacing w:line="280" w:lineRule="atLeast"/>
        <w:ind w:firstLine="708"/>
        <w:jc w:val="both"/>
        <w:rPr>
          <w:rFonts w:cstheme="minorHAnsi"/>
          <w:color w:val="000000" w:themeColor="text1"/>
          <w:sz w:val="24"/>
          <w:szCs w:val="24"/>
        </w:rPr>
      </w:pPr>
    </w:p>
    <w:p w14:paraId="21540B1D" w14:textId="77777777" w:rsidR="00637780" w:rsidRDefault="00637780">
      <w:pPr>
        <w:rPr>
          <w:rFonts w:eastAsiaTheme="majorEastAsia" w:cstheme="minorHAnsi"/>
          <w:b/>
          <w:color w:val="000000" w:themeColor="text1"/>
          <w:sz w:val="32"/>
          <w:szCs w:val="32"/>
        </w:rPr>
      </w:pPr>
      <w:r>
        <w:rPr>
          <w:rFonts w:cstheme="minorHAnsi"/>
          <w:b/>
          <w:color w:val="000000" w:themeColor="text1"/>
        </w:rPr>
        <w:br w:type="page"/>
      </w:r>
    </w:p>
    <w:p w14:paraId="1F88E83D" w14:textId="2DB55A40" w:rsidR="00AE477F" w:rsidRPr="003542CB" w:rsidRDefault="00AE477F" w:rsidP="00E3584D">
      <w:pPr>
        <w:pStyle w:val="Nadpis1"/>
        <w:spacing w:line="280" w:lineRule="atLeast"/>
        <w:jc w:val="center"/>
        <w:rPr>
          <w:rFonts w:asciiTheme="minorHAnsi" w:hAnsiTheme="minorHAnsi" w:cstheme="minorHAnsi"/>
          <w:b/>
          <w:color w:val="000000" w:themeColor="text1"/>
        </w:rPr>
      </w:pPr>
      <w:bookmarkStart w:id="18" w:name="_Toc75366887"/>
      <w:r w:rsidRPr="003542CB">
        <w:rPr>
          <w:rFonts w:asciiTheme="minorHAnsi" w:hAnsiTheme="minorHAnsi" w:cstheme="minorHAnsi"/>
          <w:b/>
          <w:color w:val="000000" w:themeColor="text1"/>
        </w:rPr>
        <w:lastRenderedPageBreak/>
        <w:t>4. ŘÍDÍCÍ A KONTROLNÍ SYSTÉM</w:t>
      </w:r>
      <w:bookmarkEnd w:id="18"/>
    </w:p>
    <w:p w14:paraId="62424253" w14:textId="77777777" w:rsidR="00AE477F" w:rsidRPr="003542CB" w:rsidRDefault="00AE477F" w:rsidP="00E3584D">
      <w:pPr>
        <w:spacing w:line="280" w:lineRule="atLeast"/>
        <w:jc w:val="both"/>
        <w:rPr>
          <w:rFonts w:cstheme="minorHAnsi"/>
          <w:color w:val="000000" w:themeColor="text1"/>
          <w:sz w:val="24"/>
          <w:szCs w:val="24"/>
        </w:rPr>
      </w:pPr>
    </w:p>
    <w:p w14:paraId="22F76603" w14:textId="77777777" w:rsidR="00144FB7" w:rsidRPr="003542CB" w:rsidRDefault="00144FB7" w:rsidP="009835E2">
      <w:pPr>
        <w:pStyle w:val="Nadpis2"/>
        <w:spacing w:after="120" w:line="280" w:lineRule="atLeast"/>
        <w:rPr>
          <w:rFonts w:asciiTheme="minorHAnsi" w:hAnsiTheme="minorHAnsi" w:cstheme="minorHAnsi"/>
          <w:b/>
          <w:color w:val="000000" w:themeColor="text1"/>
        </w:rPr>
      </w:pPr>
      <w:bookmarkStart w:id="19" w:name="_Toc75366888"/>
      <w:r w:rsidRPr="003542CB">
        <w:rPr>
          <w:rFonts w:asciiTheme="minorHAnsi" w:hAnsiTheme="minorHAnsi" w:cstheme="minorHAnsi"/>
          <w:b/>
          <w:color w:val="000000" w:themeColor="text1"/>
        </w:rPr>
        <w:t>4.1. Hlavní orgány Vitalitas pojišťovny, a.s.</w:t>
      </w:r>
      <w:bookmarkEnd w:id="19"/>
    </w:p>
    <w:p w14:paraId="2EC6B0B5" w14:textId="59B8BFC3" w:rsidR="00C52B98" w:rsidRPr="003542CB" w:rsidRDefault="00C52B98"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Statutárním orgánem Pojišťovny je představenstvo, kontrolním orgánem je dozorčí rada. Oba orgány jsou tříčlenné. Jejich složení k 31. 12. </w:t>
      </w:r>
      <w:r w:rsidR="00D84197" w:rsidRPr="003542CB">
        <w:rPr>
          <w:rFonts w:cstheme="minorHAnsi"/>
          <w:color w:val="000000" w:themeColor="text1"/>
          <w:sz w:val="24"/>
          <w:szCs w:val="24"/>
        </w:rPr>
        <w:t xml:space="preserve">2020 </w:t>
      </w:r>
      <w:r w:rsidRPr="003542CB">
        <w:rPr>
          <w:rFonts w:cstheme="minorHAnsi"/>
          <w:color w:val="000000" w:themeColor="text1"/>
          <w:sz w:val="24"/>
          <w:szCs w:val="24"/>
        </w:rPr>
        <w:t xml:space="preserve">je popsáno </w:t>
      </w:r>
      <w:r w:rsidR="00DC60E9" w:rsidRPr="003542CB">
        <w:rPr>
          <w:rFonts w:cstheme="minorHAnsi"/>
          <w:color w:val="000000" w:themeColor="text1"/>
          <w:sz w:val="24"/>
          <w:szCs w:val="24"/>
        </w:rPr>
        <w:t>dále</w:t>
      </w:r>
      <w:r w:rsidRPr="003542CB">
        <w:rPr>
          <w:rFonts w:cstheme="minorHAnsi"/>
          <w:color w:val="000000" w:themeColor="text1"/>
          <w:sz w:val="24"/>
          <w:szCs w:val="24"/>
        </w:rPr>
        <w:t xml:space="preserve"> v této kapitole.</w:t>
      </w:r>
    </w:p>
    <w:p w14:paraId="388BF497" w14:textId="77777777" w:rsidR="00144FB7" w:rsidRPr="003542CB" w:rsidRDefault="00144FB7" w:rsidP="009835E2">
      <w:pPr>
        <w:autoSpaceDE w:val="0"/>
        <w:autoSpaceDN w:val="0"/>
        <w:adjustRightInd w:val="0"/>
        <w:spacing w:after="120" w:line="280" w:lineRule="atLeast"/>
        <w:rPr>
          <w:rFonts w:cstheme="minorHAnsi"/>
          <w:b/>
          <w:color w:val="000000" w:themeColor="text1"/>
          <w:sz w:val="24"/>
          <w:u w:val="single"/>
        </w:rPr>
      </w:pPr>
      <w:r w:rsidRPr="003542CB">
        <w:rPr>
          <w:rFonts w:cstheme="minorHAnsi"/>
          <w:b/>
          <w:color w:val="000000" w:themeColor="text1"/>
          <w:sz w:val="24"/>
          <w:u w:val="single"/>
        </w:rPr>
        <w:t>Představenstvo</w:t>
      </w:r>
    </w:p>
    <w:p w14:paraId="3D929EC3"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 xml:space="preserve">Ing. Ladislav Friedrich, CSc. </w:t>
      </w:r>
    </w:p>
    <w:p w14:paraId="3CE172D6"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předseda představenstva</w:t>
      </w:r>
    </w:p>
    <w:p w14:paraId="2FFF46F9"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20. 2. 2016 (člen představenstva od 9.2.2016)</w:t>
      </w:r>
    </w:p>
    <w:p w14:paraId="6F528004"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4B06172F"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zkušenosti:</w:t>
      </w:r>
      <w:r w:rsidRPr="003542CB">
        <w:rPr>
          <w:rFonts w:cstheme="minorHAnsi"/>
          <w:color w:val="000000" w:themeColor="text1"/>
          <w:sz w:val="24"/>
        </w:rPr>
        <w:tab/>
        <w:t>Prezident SZP ČR</w:t>
      </w:r>
    </w:p>
    <w:p w14:paraId="5D43E4BB" w14:textId="4E1716BD" w:rsidR="000E41BA" w:rsidRPr="003542CB" w:rsidRDefault="00C52B98" w:rsidP="00204072">
      <w:pPr>
        <w:autoSpaceDE w:val="0"/>
        <w:autoSpaceDN w:val="0"/>
        <w:adjustRightInd w:val="0"/>
        <w:spacing w:after="120" w:line="280" w:lineRule="atLeast"/>
        <w:ind w:left="1418" w:firstLine="709"/>
        <w:rPr>
          <w:rFonts w:cstheme="minorHAnsi"/>
          <w:color w:val="000000" w:themeColor="text1"/>
          <w:sz w:val="24"/>
        </w:rPr>
      </w:pPr>
      <w:r w:rsidRPr="003542CB">
        <w:rPr>
          <w:rFonts w:cstheme="minorHAnsi"/>
          <w:color w:val="000000" w:themeColor="text1"/>
          <w:sz w:val="24"/>
        </w:rPr>
        <w:t>Generální ředitel OZP</w:t>
      </w:r>
    </w:p>
    <w:p w14:paraId="73D9D320"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 xml:space="preserve">Mgr. Lenka Novotná </w:t>
      </w:r>
    </w:p>
    <w:p w14:paraId="068578FA"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místopředseda představenstva</w:t>
      </w:r>
    </w:p>
    <w:p w14:paraId="497EB628" w14:textId="4A853931"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7. 8. 201</w:t>
      </w:r>
      <w:r w:rsidR="00A53203" w:rsidRPr="003542CB">
        <w:rPr>
          <w:rFonts w:cstheme="minorHAnsi"/>
          <w:color w:val="000000" w:themeColor="text1"/>
          <w:sz w:val="24"/>
        </w:rPr>
        <w:t>9</w:t>
      </w:r>
      <w:r w:rsidRPr="003542CB">
        <w:rPr>
          <w:rFonts w:cstheme="minorHAnsi"/>
          <w:color w:val="000000" w:themeColor="text1"/>
          <w:sz w:val="24"/>
        </w:rPr>
        <w:t xml:space="preserve"> (člen představenstva od 16. 8. 2011)</w:t>
      </w:r>
    </w:p>
    <w:p w14:paraId="1D1F043C"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49F23442"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zkušenosti:</w:t>
      </w:r>
      <w:r w:rsidRPr="003542CB">
        <w:rPr>
          <w:rFonts w:cstheme="minorHAnsi"/>
          <w:i/>
          <w:color w:val="000000" w:themeColor="text1"/>
          <w:sz w:val="24"/>
        </w:rPr>
        <w:tab/>
      </w:r>
      <w:r w:rsidRPr="003542CB">
        <w:rPr>
          <w:rFonts w:cstheme="minorHAnsi"/>
          <w:color w:val="000000" w:themeColor="text1"/>
          <w:sz w:val="24"/>
        </w:rPr>
        <w:t>Vedoucí právního odboru v OZP</w:t>
      </w:r>
    </w:p>
    <w:p w14:paraId="041AD26D" w14:textId="79C07CFB" w:rsidR="000E41BA" w:rsidRPr="003542CB" w:rsidRDefault="00C52B98" w:rsidP="00204072">
      <w:pPr>
        <w:autoSpaceDE w:val="0"/>
        <w:autoSpaceDN w:val="0"/>
        <w:adjustRightInd w:val="0"/>
        <w:spacing w:after="120" w:line="280" w:lineRule="atLeast"/>
        <w:ind w:left="1418" w:firstLine="709"/>
        <w:rPr>
          <w:rFonts w:cstheme="minorHAnsi"/>
          <w:color w:val="000000" w:themeColor="text1"/>
          <w:sz w:val="24"/>
        </w:rPr>
      </w:pPr>
      <w:r w:rsidRPr="003542CB">
        <w:rPr>
          <w:rFonts w:cstheme="minorHAnsi"/>
          <w:color w:val="000000" w:themeColor="text1"/>
          <w:sz w:val="24"/>
        </w:rPr>
        <w:t>Tajemnice náměstka pro zdravotní pojištění MZČR</w:t>
      </w:r>
    </w:p>
    <w:p w14:paraId="7EB538F7"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 xml:space="preserve">PhDr. Miloslava Lukešová </w:t>
      </w:r>
    </w:p>
    <w:p w14:paraId="09574E99"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členka představenstva</w:t>
      </w:r>
    </w:p>
    <w:p w14:paraId="756F0897"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1. 7. 2019</w:t>
      </w:r>
    </w:p>
    <w:p w14:paraId="3FA96DDC"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61E86511"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zkušenosti:</w:t>
      </w:r>
      <w:r w:rsidRPr="003542CB">
        <w:rPr>
          <w:rFonts w:cstheme="minorHAnsi"/>
          <w:i/>
          <w:color w:val="000000" w:themeColor="text1"/>
          <w:sz w:val="24"/>
        </w:rPr>
        <w:tab/>
      </w:r>
      <w:r w:rsidRPr="003542CB">
        <w:rPr>
          <w:rFonts w:cstheme="minorHAnsi"/>
          <w:color w:val="000000" w:themeColor="text1"/>
          <w:sz w:val="24"/>
        </w:rPr>
        <w:t>Obchodní ředitelka OZP</w:t>
      </w:r>
    </w:p>
    <w:p w14:paraId="3751CE86" w14:textId="1D8C84CF" w:rsidR="009835E2" w:rsidRPr="003542CB" w:rsidRDefault="00C52B98" w:rsidP="00204072">
      <w:pPr>
        <w:autoSpaceDE w:val="0"/>
        <w:autoSpaceDN w:val="0"/>
        <w:adjustRightInd w:val="0"/>
        <w:spacing w:after="120" w:line="280" w:lineRule="atLeast"/>
        <w:ind w:firstLine="709"/>
        <w:rPr>
          <w:rFonts w:cstheme="minorHAnsi"/>
          <w:color w:val="000000" w:themeColor="text1"/>
          <w:sz w:val="24"/>
        </w:rPr>
      </w:pPr>
      <w:r w:rsidRPr="003542CB">
        <w:rPr>
          <w:rFonts w:cstheme="minorHAnsi"/>
          <w:color w:val="000000" w:themeColor="text1"/>
          <w:sz w:val="24"/>
        </w:rPr>
        <w:tab/>
      </w:r>
      <w:r w:rsidRPr="003542CB">
        <w:rPr>
          <w:rFonts w:cstheme="minorHAnsi"/>
          <w:color w:val="000000" w:themeColor="text1"/>
          <w:sz w:val="24"/>
        </w:rPr>
        <w:tab/>
        <w:t>Ředitelka pobočky OZP</w:t>
      </w:r>
    </w:p>
    <w:p w14:paraId="69310EAA" w14:textId="15BE056B" w:rsidR="00BB0E50" w:rsidRPr="003542CB" w:rsidRDefault="002B525B" w:rsidP="00E3584D">
      <w:pPr>
        <w:spacing w:line="280" w:lineRule="atLeast"/>
        <w:jc w:val="both"/>
        <w:rPr>
          <w:rFonts w:cstheme="minorHAnsi"/>
          <w:color w:val="000000" w:themeColor="text1"/>
          <w:sz w:val="24"/>
        </w:rPr>
      </w:pPr>
      <w:r w:rsidRPr="003542CB">
        <w:rPr>
          <w:rFonts w:cstheme="minorHAnsi"/>
          <w:color w:val="000000" w:themeColor="text1"/>
          <w:sz w:val="24"/>
        </w:rPr>
        <w:t xml:space="preserve">Během reportovaného období nedošlo k žádné změně. </w:t>
      </w:r>
    </w:p>
    <w:p w14:paraId="1C27FCDB" w14:textId="77777777" w:rsidR="00C52B98" w:rsidRPr="003542CB" w:rsidRDefault="00C52B98" w:rsidP="009835E2">
      <w:pPr>
        <w:autoSpaceDE w:val="0"/>
        <w:autoSpaceDN w:val="0"/>
        <w:adjustRightInd w:val="0"/>
        <w:spacing w:after="120" w:line="280" w:lineRule="atLeast"/>
        <w:rPr>
          <w:rFonts w:cstheme="minorHAnsi"/>
          <w:b/>
          <w:color w:val="000000" w:themeColor="text1"/>
          <w:sz w:val="24"/>
          <w:u w:val="single"/>
        </w:rPr>
      </w:pPr>
      <w:r w:rsidRPr="003542CB">
        <w:rPr>
          <w:rFonts w:cstheme="minorHAnsi"/>
          <w:b/>
          <w:color w:val="000000" w:themeColor="text1"/>
          <w:sz w:val="24"/>
          <w:u w:val="single"/>
        </w:rPr>
        <w:t>Dozorčí rada</w:t>
      </w:r>
    </w:p>
    <w:p w14:paraId="636CB96B"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 xml:space="preserve">Ing. Miroslav </w:t>
      </w:r>
      <w:proofErr w:type="spellStart"/>
      <w:r w:rsidRPr="003542CB">
        <w:rPr>
          <w:rFonts w:cstheme="minorHAnsi"/>
          <w:b/>
          <w:color w:val="000000" w:themeColor="text1"/>
          <w:sz w:val="24"/>
        </w:rPr>
        <w:t>Žiška</w:t>
      </w:r>
      <w:proofErr w:type="spellEnd"/>
    </w:p>
    <w:p w14:paraId="5D123023"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předseda dozorčí rady</w:t>
      </w:r>
    </w:p>
    <w:p w14:paraId="1DCD88A2"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10.12.2008</w:t>
      </w:r>
    </w:p>
    <w:p w14:paraId="70FF6120"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103E0443" w14:textId="77777777" w:rsidR="00C52B98" w:rsidRPr="003542CB" w:rsidRDefault="00C52B98" w:rsidP="009835E2">
      <w:pPr>
        <w:autoSpaceDE w:val="0"/>
        <w:autoSpaceDN w:val="0"/>
        <w:adjustRightInd w:val="0"/>
        <w:spacing w:after="0" w:line="280" w:lineRule="atLeast"/>
        <w:ind w:left="2127" w:hanging="1419"/>
        <w:rPr>
          <w:rFonts w:cstheme="minorHAnsi"/>
          <w:color w:val="000000" w:themeColor="text1"/>
          <w:sz w:val="24"/>
        </w:rPr>
      </w:pPr>
      <w:r w:rsidRPr="003542CB">
        <w:rPr>
          <w:rFonts w:cstheme="minorHAnsi"/>
          <w:i/>
          <w:color w:val="000000" w:themeColor="text1"/>
          <w:sz w:val="24"/>
        </w:rPr>
        <w:t>zkušenosti:</w:t>
      </w:r>
      <w:r w:rsidRPr="003542CB">
        <w:rPr>
          <w:rFonts w:cstheme="minorHAnsi"/>
          <w:color w:val="000000" w:themeColor="text1"/>
          <w:sz w:val="24"/>
        </w:rPr>
        <w:tab/>
        <w:t xml:space="preserve">Regionální </w:t>
      </w:r>
      <w:proofErr w:type="spellStart"/>
      <w:r w:rsidRPr="003542CB">
        <w:rPr>
          <w:rFonts w:cstheme="minorHAnsi"/>
          <w:color w:val="000000" w:themeColor="text1"/>
          <w:sz w:val="24"/>
        </w:rPr>
        <w:t>corporate</w:t>
      </w:r>
      <w:proofErr w:type="spellEnd"/>
      <w:r w:rsidRPr="003542CB">
        <w:rPr>
          <w:rFonts w:cstheme="minorHAnsi"/>
          <w:color w:val="000000" w:themeColor="text1"/>
          <w:sz w:val="24"/>
        </w:rPr>
        <w:t xml:space="preserve"> manager pro Moravu v PPF Banka, a.s.</w:t>
      </w:r>
    </w:p>
    <w:p w14:paraId="363626BA" w14:textId="77777777" w:rsidR="00C52B98" w:rsidRPr="003542CB" w:rsidRDefault="00C52B98" w:rsidP="009F55F2">
      <w:pPr>
        <w:autoSpaceDE w:val="0"/>
        <w:autoSpaceDN w:val="0"/>
        <w:adjustRightInd w:val="0"/>
        <w:spacing w:after="120" w:line="280" w:lineRule="atLeast"/>
        <w:ind w:left="2127" w:hanging="1418"/>
        <w:rPr>
          <w:rFonts w:cstheme="minorHAnsi"/>
          <w:color w:val="000000" w:themeColor="text1"/>
          <w:sz w:val="24"/>
        </w:rPr>
      </w:pPr>
      <w:r w:rsidRPr="003542CB">
        <w:rPr>
          <w:rFonts w:cstheme="minorHAnsi"/>
          <w:i/>
          <w:color w:val="000000" w:themeColor="text1"/>
          <w:sz w:val="24"/>
        </w:rPr>
        <w:tab/>
      </w:r>
      <w:r w:rsidRPr="003542CB">
        <w:rPr>
          <w:rFonts w:cstheme="minorHAnsi"/>
          <w:color w:val="000000" w:themeColor="text1"/>
          <w:sz w:val="24"/>
        </w:rPr>
        <w:t>Regionální manager pro střední a severní Moravu v Raiffeisenbank, a.s.</w:t>
      </w:r>
    </w:p>
    <w:p w14:paraId="6862BF27"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 xml:space="preserve">Ing. Daniel </w:t>
      </w:r>
      <w:proofErr w:type="spellStart"/>
      <w:r w:rsidRPr="003542CB">
        <w:rPr>
          <w:rFonts w:cstheme="minorHAnsi"/>
          <w:b/>
          <w:color w:val="000000" w:themeColor="text1"/>
          <w:sz w:val="24"/>
        </w:rPr>
        <w:t>Ballek</w:t>
      </w:r>
      <w:proofErr w:type="spellEnd"/>
      <w:r w:rsidRPr="003542CB">
        <w:rPr>
          <w:rFonts w:cstheme="minorHAnsi"/>
          <w:b/>
          <w:color w:val="000000" w:themeColor="text1"/>
          <w:sz w:val="24"/>
        </w:rPr>
        <w:t xml:space="preserve">, MBA </w:t>
      </w:r>
    </w:p>
    <w:p w14:paraId="2F4C1EAD"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místopředseda dozorčí rady</w:t>
      </w:r>
    </w:p>
    <w:p w14:paraId="16418EB8"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1.7.2018</w:t>
      </w:r>
    </w:p>
    <w:p w14:paraId="6C0CE156"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452D9ECC"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zkušenosti:</w:t>
      </w:r>
      <w:r w:rsidRPr="003542CB">
        <w:rPr>
          <w:rFonts w:cstheme="minorHAnsi"/>
          <w:color w:val="000000" w:themeColor="text1"/>
          <w:sz w:val="24"/>
        </w:rPr>
        <w:tab/>
        <w:t>Finanční ředitel v OZP</w:t>
      </w:r>
    </w:p>
    <w:p w14:paraId="0231CA03" w14:textId="77777777" w:rsidR="00C52B98" w:rsidRPr="003542CB" w:rsidRDefault="00C52B98" w:rsidP="009F55F2">
      <w:pPr>
        <w:autoSpaceDE w:val="0"/>
        <w:autoSpaceDN w:val="0"/>
        <w:adjustRightInd w:val="0"/>
        <w:spacing w:after="120" w:line="280" w:lineRule="atLeast"/>
        <w:ind w:firstLine="709"/>
        <w:rPr>
          <w:rFonts w:cstheme="minorHAnsi"/>
          <w:color w:val="000000" w:themeColor="text1"/>
          <w:sz w:val="24"/>
        </w:rPr>
      </w:pPr>
      <w:r w:rsidRPr="003542CB">
        <w:rPr>
          <w:rFonts w:cstheme="minorHAnsi"/>
          <w:color w:val="000000" w:themeColor="text1"/>
          <w:sz w:val="24"/>
        </w:rPr>
        <w:tab/>
      </w:r>
      <w:r w:rsidRPr="003542CB">
        <w:rPr>
          <w:rFonts w:cstheme="minorHAnsi"/>
          <w:color w:val="000000" w:themeColor="text1"/>
          <w:sz w:val="24"/>
        </w:rPr>
        <w:tab/>
        <w:t>Vedoucí ekonomicko-provozního oddělení pobočky Praha v ZPMVČR</w:t>
      </w:r>
    </w:p>
    <w:p w14:paraId="1117F343" w14:textId="77777777" w:rsidR="00C52B98" w:rsidRPr="003542CB" w:rsidRDefault="00C52B98" w:rsidP="009835E2">
      <w:pPr>
        <w:autoSpaceDE w:val="0"/>
        <w:autoSpaceDN w:val="0"/>
        <w:adjustRightInd w:val="0"/>
        <w:spacing w:after="0" w:line="280" w:lineRule="atLeast"/>
        <w:rPr>
          <w:rFonts w:cstheme="minorHAnsi"/>
          <w:b/>
          <w:color w:val="000000" w:themeColor="text1"/>
          <w:sz w:val="24"/>
        </w:rPr>
      </w:pPr>
      <w:r w:rsidRPr="003542CB">
        <w:rPr>
          <w:rFonts w:cstheme="minorHAnsi"/>
          <w:b/>
          <w:color w:val="000000" w:themeColor="text1"/>
          <w:sz w:val="24"/>
        </w:rPr>
        <w:t>JUDr. Veronika Vycpálková</w:t>
      </w:r>
    </w:p>
    <w:p w14:paraId="5EDC0EDB"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funkce:</w:t>
      </w:r>
      <w:r w:rsidRPr="003542CB">
        <w:rPr>
          <w:rFonts w:cstheme="minorHAnsi"/>
          <w:i/>
          <w:color w:val="000000" w:themeColor="text1"/>
          <w:sz w:val="24"/>
        </w:rPr>
        <w:tab/>
      </w:r>
      <w:r w:rsidRPr="003542CB">
        <w:rPr>
          <w:rFonts w:cstheme="minorHAnsi"/>
          <w:i/>
          <w:color w:val="000000" w:themeColor="text1"/>
          <w:sz w:val="24"/>
        </w:rPr>
        <w:tab/>
      </w:r>
      <w:r w:rsidRPr="003542CB">
        <w:rPr>
          <w:rFonts w:cstheme="minorHAnsi"/>
          <w:color w:val="000000" w:themeColor="text1"/>
          <w:sz w:val="24"/>
        </w:rPr>
        <w:t>člen dozorčí rady</w:t>
      </w:r>
    </w:p>
    <w:p w14:paraId="3B32C645"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ve funkci od:</w:t>
      </w:r>
      <w:r w:rsidRPr="003542CB">
        <w:rPr>
          <w:rFonts w:cstheme="minorHAnsi"/>
          <w:color w:val="000000" w:themeColor="text1"/>
          <w:sz w:val="24"/>
        </w:rPr>
        <w:tab/>
        <w:t>12. 1. 2019</w:t>
      </w:r>
    </w:p>
    <w:p w14:paraId="25ED0F52" w14:textId="77777777" w:rsidR="00C52B98" w:rsidRPr="003542CB" w:rsidRDefault="00C52B98" w:rsidP="009835E2">
      <w:pPr>
        <w:autoSpaceDE w:val="0"/>
        <w:autoSpaceDN w:val="0"/>
        <w:adjustRightInd w:val="0"/>
        <w:spacing w:after="0" w:line="280" w:lineRule="atLeast"/>
        <w:ind w:firstLine="708"/>
        <w:rPr>
          <w:rFonts w:cstheme="minorHAnsi"/>
          <w:color w:val="000000" w:themeColor="text1"/>
          <w:sz w:val="24"/>
        </w:rPr>
      </w:pPr>
      <w:r w:rsidRPr="003542CB">
        <w:rPr>
          <w:rFonts w:cstheme="minorHAnsi"/>
          <w:i/>
          <w:color w:val="000000" w:themeColor="text1"/>
          <w:sz w:val="24"/>
        </w:rPr>
        <w:t>vzdělání:</w:t>
      </w:r>
      <w:r w:rsidRPr="003542CB">
        <w:rPr>
          <w:rFonts w:cstheme="minorHAnsi"/>
          <w:color w:val="000000" w:themeColor="text1"/>
          <w:sz w:val="24"/>
        </w:rPr>
        <w:tab/>
        <w:t>vysokoškolské</w:t>
      </w:r>
    </w:p>
    <w:p w14:paraId="127196DB" w14:textId="77777777" w:rsidR="00C52B98" w:rsidRPr="003542CB" w:rsidRDefault="00C52B98" w:rsidP="009F55F2">
      <w:pPr>
        <w:autoSpaceDE w:val="0"/>
        <w:autoSpaceDN w:val="0"/>
        <w:adjustRightInd w:val="0"/>
        <w:spacing w:after="120" w:line="280" w:lineRule="atLeast"/>
        <w:ind w:firstLine="709"/>
        <w:rPr>
          <w:rFonts w:cstheme="minorHAnsi"/>
          <w:color w:val="000000" w:themeColor="text1"/>
          <w:sz w:val="24"/>
        </w:rPr>
      </w:pPr>
      <w:r w:rsidRPr="003542CB">
        <w:rPr>
          <w:rFonts w:cstheme="minorHAnsi"/>
          <w:i/>
          <w:color w:val="000000" w:themeColor="text1"/>
          <w:sz w:val="24"/>
        </w:rPr>
        <w:t>zkušenosti:</w:t>
      </w:r>
      <w:r w:rsidRPr="003542CB">
        <w:rPr>
          <w:rFonts w:cstheme="minorHAnsi"/>
          <w:i/>
          <w:color w:val="000000" w:themeColor="text1"/>
          <w:sz w:val="24"/>
        </w:rPr>
        <w:tab/>
      </w:r>
      <w:r w:rsidRPr="003542CB">
        <w:rPr>
          <w:rFonts w:cstheme="minorHAnsi"/>
          <w:color w:val="000000" w:themeColor="text1"/>
          <w:sz w:val="24"/>
        </w:rPr>
        <w:t>Vedoucí odboru správy majetku a majetkových účastí v OZP</w:t>
      </w:r>
    </w:p>
    <w:p w14:paraId="12E5615B" w14:textId="211C7FE6" w:rsidR="009835E2" w:rsidRPr="00146DDE" w:rsidRDefault="00642D69" w:rsidP="00146DDE">
      <w:pPr>
        <w:spacing w:line="280" w:lineRule="atLeast"/>
        <w:jc w:val="both"/>
        <w:rPr>
          <w:rFonts w:cstheme="minorHAnsi"/>
          <w:color w:val="000000" w:themeColor="text1"/>
          <w:sz w:val="24"/>
        </w:rPr>
      </w:pPr>
      <w:r w:rsidRPr="003542CB">
        <w:rPr>
          <w:rFonts w:cstheme="minorHAnsi"/>
          <w:color w:val="000000" w:themeColor="text1"/>
          <w:sz w:val="24"/>
        </w:rPr>
        <w:t xml:space="preserve">Během reportovaného období nedošlo k žádné změně. </w:t>
      </w:r>
    </w:p>
    <w:p w14:paraId="6E1F9FAF" w14:textId="77777777" w:rsidR="00905100" w:rsidRDefault="00905100" w:rsidP="00E3584D">
      <w:pPr>
        <w:pStyle w:val="Nadpis2"/>
        <w:spacing w:line="280" w:lineRule="atLeast"/>
        <w:rPr>
          <w:rFonts w:asciiTheme="minorHAnsi" w:hAnsiTheme="minorHAnsi" w:cstheme="minorHAnsi"/>
          <w:b/>
          <w:color w:val="000000" w:themeColor="text1"/>
        </w:rPr>
      </w:pPr>
    </w:p>
    <w:p w14:paraId="7B0F0695" w14:textId="41C643B0" w:rsidR="00AE477F" w:rsidRPr="003542CB" w:rsidRDefault="00144FB7" w:rsidP="00E3584D">
      <w:pPr>
        <w:pStyle w:val="Nadpis2"/>
        <w:spacing w:line="280" w:lineRule="atLeast"/>
        <w:rPr>
          <w:rFonts w:asciiTheme="minorHAnsi" w:hAnsiTheme="minorHAnsi" w:cstheme="minorHAnsi"/>
          <w:b/>
          <w:color w:val="000000" w:themeColor="text1"/>
        </w:rPr>
      </w:pPr>
      <w:bookmarkStart w:id="20" w:name="_Toc75366889"/>
      <w:r w:rsidRPr="003542CB">
        <w:rPr>
          <w:rFonts w:asciiTheme="minorHAnsi" w:hAnsiTheme="minorHAnsi" w:cstheme="minorHAnsi"/>
          <w:b/>
          <w:color w:val="000000" w:themeColor="text1"/>
        </w:rPr>
        <w:t>4.2</w:t>
      </w:r>
      <w:r w:rsidR="00C21F1B" w:rsidRPr="003542CB">
        <w:rPr>
          <w:rFonts w:asciiTheme="minorHAnsi" w:hAnsiTheme="minorHAnsi" w:cstheme="minorHAnsi"/>
          <w:b/>
          <w:color w:val="000000" w:themeColor="text1"/>
        </w:rPr>
        <w:t>. I</w:t>
      </w:r>
      <w:r w:rsidR="00AE477F" w:rsidRPr="003542CB">
        <w:rPr>
          <w:rFonts w:asciiTheme="minorHAnsi" w:hAnsiTheme="minorHAnsi" w:cstheme="minorHAnsi"/>
          <w:b/>
          <w:color w:val="000000" w:themeColor="text1"/>
        </w:rPr>
        <w:t>nformace o řídícím a kontrolním systému</w:t>
      </w:r>
      <w:bookmarkEnd w:id="20"/>
    </w:p>
    <w:p w14:paraId="0A7C785F" w14:textId="7B2E2E12" w:rsidR="00182CBC" w:rsidRPr="003542CB" w:rsidRDefault="00182CBC" w:rsidP="00E3584D">
      <w:pPr>
        <w:spacing w:line="280" w:lineRule="atLeast"/>
        <w:ind w:firstLine="426"/>
        <w:rPr>
          <w:rFonts w:cstheme="minorHAnsi"/>
          <w:color w:val="000000" w:themeColor="text1"/>
        </w:rPr>
      </w:pPr>
      <w:r w:rsidRPr="003542CB">
        <w:rPr>
          <w:rFonts w:cstheme="minorHAnsi"/>
          <w:color w:val="000000" w:themeColor="text1"/>
        </w:rPr>
        <w:t>Obr. č. 2 – Organigram Vitalitas k 31.12.20</w:t>
      </w:r>
      <w:r w:rsidR="00CA3F89" w:rsidRPr="003542CB">
        <w:rPr>
          <w:rFonts w:cstheme="minorHAnsi"/>
          <w:color w:val="000000" w:themeColor="text1"/>
        </w:rPr>
        <w:t>20</w:t>
      </w:r>
    </w:p>
    <w:p w14:paraId="642279E6" w14:textId="3E9122F5" w:rsidR="00484F50" w:rsidRPr="003542CB" w:rsidRDefault="00182CBC" w:rsidP="00E3584D">
      <w:pPr>
        <w:spacing w:line="280" w:lineRule="atLeast"/>
        <w:rPr>
          <w:rFonts w:cstheme="minorHAnsi"/>
          <w:color w:val="FF0000"/>
        </w:rPr>
      </w:pPr>
      <w:r w:rsidRPr="003542CB">
        <w:rPr>
          <w:rFonts w:cstheme="minorHAnsi"/>
          <w:color w:val="FF0000"/>
        </w:rPr>
        <w:t xml:space="preserve"> </w:t>
      </w:r>
      <w:r w:rsidR="00620121" w:rsidRPr="003542CB">
        <w:rPr>
          <w:rFonts w:cstheme="minorHAnsi"/>
          <w:noProof/>
          <w:lang w:eastAsia="cs-CZ"/>
        </w:rPr>
        <w:drawing>
          <wp:inline distT="0" distB="0" distL="0" distR="0" wp14:anchorId="60F6D6E9" wp14:editId="04B41E76">
            <wp:extent cx="5760720" cy="78028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802880"/>
                    </a:xfrm>
                    <a:prstGeom prst="rect">
                      <a:avLst/>
                    </a:prstGeom>
                  </pic:spPr>
                </pic:pic>
              </a:graphicData>
            </a:graphic>
          </wp:inline>
        </w:drawing>
      </w:r>
    </w:p>
    <w:p w14:paraId="19AB5EE6" w14:textId="03B5D6A9" w:rsidR="00F72E88" w:rsidRPr="003542CB" w:rsidRDefault="00F72E88" w:rsidP="00E3584D">
      <w:pPr>
        <w:spacing w:line="280" w:lineRule="atLeast"/>
        <w:rPr>
          <w:rFonts w:cstheme="minorHAnsi"/>
          <w:color w:val="000000" w:themeColor="text1"/>
        </w:rPr>
      </w:pPr>
      <w:r w:rsidRPr="003542CB">
        <w:rPr>
          <w:rFonts w:cstheme="minorHAnsi"/>
          <w:color w:val="000000" w:themeColor="text1"/>
        </w:rPr>
        <w:t>Počet kmenových zaměstnanců (přepočtený) k 31.12.20</w:t>
      </w:r>
      <w:r w:rsidR="00CA3F89" w:rsidRPr="003542CB">
        <w:rPr>
          <w:rFonts w:cstheme="minorHAnsi"/>
          <w:color w:val="000000" w:themeColor="text1"/>
        </w:rPr>
        <w:t>20</w:t>
      </w:r>
      <w:r w:rsidRPr="003542CB">
        <w:rPr>
          <w:rFonts w:cstheme="minorHAnsi"/>
          <w:color w:val="000000" w:themeColor="text1"/>
        </w:rPr>
        <w:t xml:space="preserve">:  9,57           </w:t>
      </w:r>
    </w:p>
    <w:p w14:paraId="620519D1" w14:textId="77777777" w:rsidR="004B21E8" w:rsidRDefault="004B21E8" w:rsidP="00E3584D">
      <w:pPr>
        <w:spacing w:line="280" w:lineRule="atLeast"/>
        <w:jc w:val="both"/>
        <w:rPr>
          <w:rFonts w:cstheme="minorHAnsi"/>
          <w:color w:val="000000" w:themeColor="text1"/>
          <w:sz w:val="24"/>
        </w:rPr>
      </w:pPr>
    </w:p>
    <w:p w14:paraId="69C84877" w14:textId="77777777" w:rsidR="004B21E8" w:rsidRDefault="004B21E8" w:rsidP="00E3584D">
      <w:pPr>
        <w:spacing w:line="280" w:lineRule="atLeast"/>
        <w:jc w:val="both"/>
        <w:rPr>
          <w:rFonts w:cstheme="minorHAnsi"/>
          <w:color w:val="000000" w:themeColor="text1"/>
          <w:sz w:val="24"/>
        </w:rPr>
      </w:pPr>
    </w:p>
    <w:p w14:paraId="1D3DF5E1" w14:textId="78BC45A2" w:rsidR="008D20C7" w:rsidRPr="003542CB" w:rsidRDefault="008D20C7" w:rsidP="00E3584D">
      <w:pPr>
        <w:spacing w:line="280" w:lineRule="atLeast"/>
        <w:jc w:val="both"/>
        <w:rPr>
          <w:rFonts w:cstheme="minorHAnsi"/>
          <w:color w:val="000000" w:themeColor="text1"/>
          <w:sz w:val="24"/>
        </w:rPr>
      </w:pPr>
      <w:r w:rsidRPr="003542CB">
        <w:rPr>
          <w:rFonts w:cstheme="minorHAnsi"/>
          <w:color w:val="000000" w:themeColor="text1"/>
          <w:sz w:val="24"/>
        </w:rPr>
        <w:t>Na obrázku č. 2 je zobrazena organizační struk</w:t>
      </w:r>
      <w:r w:rsidR="002E0FCF" w:rsidRPr="003542CB">
        <w:rPr>
          <w:rFonts w:cstheme="minorHAnsi"/>
          <w:color w:val="000000" w:themeColor="text1"/>
          <w:sz w:val="24"/>
        </w:rPr>
        <w:t>tu</w:t>
      </w:r>
      <w:r w:rsidRPr="003542CB">
        <w:rPr>
          <w:rFonts w:cstheme="minorHAnsi"/>
          <w:color w:val="000000" w:themeColor="text1"/>
          <w:sz w:val="24"/>
        </w:rPr>
        <w:t>ra k 31.12.20</w:t>
      </w:r>
      <w:r w:rsidR="00920418" w:rsidRPr="003542CB">
        <w:rPr>
          <w:rFonts w:cstheme="minorHAnsi"/>
          <w:color w:val="000000" w:themeColor="text1"/>
          <w:sz w:val="24"/>
        </w:rPr>
        <w:t>20</w:t>
      </w:r>
      <w:r w:rsidRPr="003542CB">
        <w:rPr>
          <w:rFonts w:cstheme="minorHAnsi"/>
          <w:color w:val="000000" w:themeColor="text1"/>
          <w:sz w:val="24"/>
        </w:rPr>
        <w:t xml:space="preserve">. </w:t>
      </w:r>
      <w:r w:rsidR="005819CA" w:rsidRPr="003542CB">
        <w:rPr>
          <w:rFonts w:cstheme="minorHAnsi"/>
          <w:color w:val="000000" w:themeColor="text1"/>
          <w:sz w:val="24"/>
        </w:rPr>
        <w:t>Organizačn</w:t>
      </w:r>
      <w:r w:rsidR="002E0FCF" w:rsidRPr="003542CB">
        <w:rPr>
          <w:rFonts w:cstheme="minorHAnsi"/>
          <w:color w:val="000000" w:themeColor="text1"/>
          <w:sz w:val="24"/>
        </w:rPr>
        <w:t>í</w:t>
      </w:r>
      <w:r w:rsidR="005819CA" w:rsidRPr="003542CB">
        <w:rPr>
          <w:rFonts w:cstheme="minorHAnsi"/>
          <w:color w:val="000000" w:themeColor="text1"/>
          <w:sz w:val="24"/>
        </w:rPr>
        <w:t xml:space="preserve"> struktura Pojišťovny je postavena tak, aby vyhovovala úzké specializované produktové nabídce. Pojišťovna je sestavena jako organizace s velmi štíhlou infrastrukturou využívající outsourcing v oblastech, kde by držení vlastních pracovníků </w:t>
      </w:r>
      <w:r w:rsidR="005343E9" w:rsidRPr="003542CB">
        <w:rPr>
          <w:rFonts w:cstheme="minorHAnsi"/>
          <w:color w:val="000000" w:themeColor="text1"/>
          <w:sz w:val="24"/>
        </w:rPr>
        <w:t>nebylo ekonomicky výhodné.</w:t>
      </w:r>
    </w:p>
    <w:p w14:paraId="6D0E83D0" w14:textId="6B07369C" w:rsidR="005343E9" w:rsidRPr="003542CB" w:rsidRDefault="005343E9" w:rsidP="00E3584D">
      <w:pPr>
        <w:spacing w:line="280" w:lineRule="atLeast"/>
        <w:jc w:val="both"/>
        <w:rPr>
          <w:rFonts w:cstheme="minorHAnsi"/>
          <w:color w:val="000000" w:themeColor="text1"/>
          <w:sz w:val="24"/>
        </w:rPr>
      </w:pPr>
      <w:r w:rsidRPr="003542CB">
        <w:rPr>
          <w:rFonts w:cstheme="minorHAnsi"/>
          <w:color w:val="000000" w:themeColor="text1"/>
          <w:sz w:val="24"/>
        </w:rPr>
        <w:t xml:space="preserve">Úlohu vrcholové úrovně managementu plní v Pojišťovně její představenstvo, které činí základní strategická rozhodnutí ovlivňující střednědobou strategii. Generální ředitel je částečně zapojen do úloh strategického rozhodování, plní však </w:t>
      </w:r>
      <w:r w:rsidR="000B4256" w:rsidRPr="003542CB">
        <w:rPr>
          <w:rFonts w:cstheme="minorHAnsi"/>
          <w:color w:val="000000" w:themeColor="text1"/>
          <w:sz w:val="24"/>
        </w:rPr>
        <w:t xml:space="preserve">i </w:t>
      </w:r>
      <w:r w:rsidRPr="003542CB">
        <w:rPr>
          <w:rFonts w:cstheme="minorHAnsi"/>
          <w:color w:val="000000" w:themeColor="text1"/>
          <w:sz w:val="24"/>
        </w:rPr>
        <w:t>úlohu střední úrovně řízení</w:t>
      </w:r>
      <w:r w:rsidR="000B4256" w:rsidRPr="003542CB">
        <w:rPr>
          <w:rFonts w:cstheme="minorHAnsi"/>
          <w:color w:val="000000" w:themeColor="text1"/>
          <w:sz w:val="24"/>
        </w:rPr>
        <w:t>, tedy rozhodnutí taktická v krátkodobém horizontu do 1 roku.</w:t>
      </w:r>
      <w:r w:rsidR="00182CBC" w:rsidRPr="003542CB">
        <w:rPr>
          <w:rFonts w:cstheme="minorHAnsi"/>
          <w:color w:val="000000" w:themeColor="text1"/>
          <w:sz w:val="24"/>
        </w:rPr>
        <w:t xml:space="preserve"> </w:t>
      </w:r>
      <w:r w:rsidR="000B4256" w:rsidRPr="003542CB">
        <w:rPr>
          <w:rFonts w:cstheme="minorHAnsi"/>
          <w:color w:val="000000" w:themeColor="text1"/>
          <w:sz w:val="24"/>
        </w:rPr>
        <w:t>Základní úroveň řízení, tzv. management první linie</w:t>
      </w:r>
      <w:r w:rsidR="008759BD" w:rsidRPr="003542CB">
        <w:rPr>
          <w:rFonts w:cstheme="minorHAnsi"/>
          <w:color w:val="000000" w:themeColor="text1"/>
          <w:sz w:val="24"/>
        </w:rPr>
        <w:t>, tvoří vedoucí jednotlivých týmů, tedy týmu zpracování a správy pojistných smluv, provozního týmu a týmu péče o produkty a podpory prodeje.</w:t>
      </w:r>
    </w:p>
    <w:p w14:paraId="60E3C2EA" w14:textId="0EC6F822" w:rsidR="008759BD" w:rsidRPr="003542CB" w:rsidRDefault="00E45AA1" w:rsidP="00E3584D">
      <w:pPr>
        <w:spacing w:line="280" w:lineRule="atLeast"/>
        <w:jc w:val="both"/>
        <w:rPr>
          <w:rFonts w:cstheme="minorHAnsi"/>
          <w:color w:val="000000" w:themeColor="text1"/>
          <w:sz w:val="24"/>
        </w:rPr>
      </w:pPr>
      <w:r w:rsidRPr="003542CB">
        <w:rPr>
          <w:rFonts w:cstheme="minorHAnsi"/>
          <w:color w:val="000000" w:themeColor="text1"/>
          <w:sz w:val="24"/>
        </w:rPr>
        <w:t>Součástí nezávislého řídícího a kontrolního systému</w:t>
      </w:r>
      <w:r w:rsidR="00C21F1B" w:rsidRPr="003542CB">
        <w:rPr>
          <w:rFonts w:cstheme="minorHAnsi"/>
          <w:color w:val="000000" w:themeColor="text1"/>
          <w:sz w:val="24"/>
        </w:rPr>
        <w:t xml:space="preserve"> (dále jen </w:t>
      </w:r>
      <w:r w:rsidR="00E32D17" w:rsidRPr="003542CB">
        <w:rPr>
          <w:rFonts w:cstheme="minorHAnsi"/>
          <w:color w:val="000000" w:themeColor="text1"/>
          <w:sz w:val="24"/>
        </w:rPr>
        <w:t>„</w:t>
      </w:r>
      <w:r w:rsidR="00C21F1B" w:rsidRPr="003542CB">
        <w:rPr>
          <w:rFonts w:cstheme="minorHAnsi"/>
          <w:color w:val="000000" w:themeColor="text1"/>
          <w:sz w:val="24"/>
        </w:rPr>
        <w:t>ŘKS</w:t>
      </w:r>
      <w:r w:rsidR="00E32D17" w:rsidRPr="003542CB">
        <w:rPr>
          <w:rFonts w:cstheme="minorHAnsi"/>
          <w:color w:val="000000" w:themeColor="text1"/>
          <w:sz w:val="24"/>
        </w:rPr>
        <w:t>“</w:t>
      </w:r>
      <w:r w:rsidR="00C21F1B" w:rsidRPr="003542CB">
        <w:rPr>
          <w:rFonts w:cstheme="minorHAnsi"/>
          <w:color w:val="000000" w:themeColor="text1"/>
          <w:sz w:val="24"/>
        </w:rPr>
        <w:t>)</w:t>
      </w:r>
      <w:r w:rsidRPr="003542CB">
        <w:rPr>
          <w:rFonts w:cstheme="minorHAnsi"/>
          <w:color w:val="000000" w:themeColor="text1"/>
          <w:sz w:val="24"/>
        </w:rPr>
        <w:t xml:space="preserve">, která plní podpůrnou funkci při rozhodování střední a vrcholové úrovně managementu, jsou i </w:t>
      </w:r>
      <w:r w:rsidR="002659B7" w:rsidRPr="003542CB">
        <w:rPr>
          <w:rFonts w:cstheme="minorHAnsi"/>
          <w:color w:val="000000" w:themeColor="text1"/>
          <w:sz w:val="24"/>
        </w:rPr>
        <w:t xml:space="preserve">zaměstnanci </w:t>
      </w:r>
      <w:r w:rsidRPr="003542CB">
        <w:rPr>
          <w:rFonts w:cstheme="minorHAnsi"/>
          <w:color w:val="000000" w:themeColor="text1"/>
          <w:sz w:val="24"/>
        </w:rPr>
        <w:t>Pojišťovny na pozic</w:t>
      </w:r>
      <w:r w:rsidR="002659B7" w:rsidRPr="003542CB">
        <w:rPr>
          <w:rFonts w:cstheme="minorHAnsi"/>
          <w:color w:val="000000" w:themeColor="text1"/>
          <w:sz w:val="24"/>
        </w:rPr>
        <w:t xml:space="preserve">i </w:t>
      </w:r>
      <w:r w:rsidRPr="003542CB">
        <w:rPr>
          <w:rFonts w:cstheme="minorHAnsi"/>
          <w:color w:val="000000" w:themeColor="text1"/>
          <w:sz w:val="24"/>
        </w:rPr>
        <w:t>interní</w:t>
      </w:r>
      <w:r w:rsidR="002659B7" w:rsidRPr="003542CB">
        <w:rPr>
          <w:rFonts w:cstheme="minorHAnsi"/>
          <w:color w:val="000000" w:themeColor="text1"/>
          <w:sz w:val="24"/>
        </w:rPr>
        <w:t>ho</w:t>
      </w:r>
      <w:r w:rsidRPr="003542CB">
        <w:rPr>
          <w:rFonts w:cstheme="minorHAnsi"/>
          <w:color w:val="000000" w:themeColor="text1"/>
          <w:sz w:val="24"/>
        </w:rPr>
        <w:t xml:space="preserve"> auditor</w:t>
      </w:r>
      <w:r w:rsidR="002659B7" w:rsidRPr="003542CB">
        <w:rPr>
          <w:rFonts w:cstheme="minorHAnsi"/>
          <w:color w:val="000000" w:themeColor="text1"/>
          <w:sz w:val="24"/>
        </w:rPr>
        <w:t>a</w:t>
      </w:r>
      <w:r w:rsidRPr="003542CB">
        <w:rPr>
          <w:rFonts w:cstheme="minorHAnsi"/>
          <w:color w:val="000000" w:themeColor="text1"/>
          <w:sz w:val="24"/>
        </w:rPr>
        <w:t xml:space="preserve"> a zároveň externí pojistný matematik. Pro speciální případy je rovněž využívána externí právní kancelář, která však nenese funkci </w:t>
      </w:r>
      <w:proofErr w:type="spellStart"/>
      <w:r w:rsidRPr="003542CB">
        <w:rPr>
          <w:rFonts w:cstheme="minorHAnsi"/>
          <w:color w:val="000000" w:themeColor="text1"/>
          <w:sz w:val="24"/>
        </w:rPr>
        <w:t>compliance</w:t>
      </w:r>
      <w:proofErr w:type="spellEnd"/>
      <w:r w:rsidRPr="003542CB">
        <w:rPr>
          <w:rFonts w:cstheme="minorHAnsi"/>
          <w:color w:val="000000" w:themeColor="text1"/>
          <w:sz w:val="24"/>
        </w:rPr>
        <w:t xml:space="preserve">, která je zajišťována členkou představenstva. </w:t>
      </w:r>
    </w:p>
    <w:p w14:paraId="1CB96AB2" w14:textId="0229F4C4" w:rsidR="00320125" w:rsidRPr="003542CB" w:rsidRDefault="00320125" w:rsidP="00E3584D">
      <w:pPr>
        <w:spacing w:line="280" w:lineRule="atLeast"/>
        <w:jc w:val="both"/>
        <w:rPr>
          <w:rFonts w:cstheme="minorHAnsi"/>
          <w:color w:val="000000" w:themeColor="text1"/>
          <w:sz w:val="24"/>
        </w:rPr>
      </w:pPr>
      <w:r w:rsidRPr="003542CB">
        <w:rPr>
          <w:rFonts w:cstheme="minorHAnsi"/>
          <w:color w:val="000000" w:themeColor="text1"/>
          <w:sz w:val="24"/>
        </w:rPr>
        <w:t>Organizační struktura zohledňuje skutečnost, že Pojišťovna je prioritně zaměřena na plnění a us</w:t>
      </w:r>
      <w:r w:rsidR="00A82130" w:rsidRPr="003542CB">
        <w:rPr>
          <w:rFonts w:cstheme="minorHAnsi"/>
          <w:color w:val="000000" w:themeColor="text1"/>
          <w:sz w:val="24"/>
        </w:rPr>
        <w:t xml:space="preserve">pokojování potřeb klientů </w:t>
      </w:r>
      <w:r w:rsidRPr="003542CB">
        <w:rPr>
          <w:rFonts w:cstheme="minorHAnsi"/>
          <w:color w:val="000000" w:themeColor="text1"/>
          <w:sz w:val="24"/>
        </w:rPr>
        <w:t xml:space="preserve">partnerských zdravotních pojišťoven. Tato priorita umožňuje držet úzkou organizační strukturu, bez nutnosti specializovaných pozic zaměřených např. na </w:t>
      </w:r>
      <w:r w:rsidR="00CB490B" w:rsidRPr="003542CB">
        <w:rPr>
          <w:rFonts w:cstheme="minorHAnsi"/>
          <w:color w:val="000000" w:themeColor="text1"/>
          <w:sz w:val="24"/>
        </w:rPr>
        <w:t>marketing nebo investi</w:t>
      </w:r>
      <w:r w:rsidR="002659B7" w:rsidRPr="003542CB">
        <w:rPr>
          <w:rFonts w:cstheme="minorHAnsi"/>
          <w:color w:val="000000" w:themeColor="text1"/>
          <w:sz w:val="24"/>
        </w:rPr>
        <w:t>ční činnost.</w:t>
      </w:r>
      <w:r w:rsidR="00CB490B" w:rsidRPr="003542CB">
        <w:rPr>
          <w:rFonts w:cstheme="minorHAnsi"/>
          <w:color w:val="000000" w:themeColor="text1"/>
          <w:sz w:val="24"/>
        </w:rPr>
        <w:t xml:space="preserve">  </w:t>
      </w:r>
    </w:p>
    <w:p w14:paraId="103EE06B" w14:textId="1E9FB076" w:rsidR="008D20C7" w:rsidRPr="003542CB" w:rsidRDefault="00F07485" w:rsidP="00E3584D">
      <w:pPr>
        <w:spacing w:line="280" w:lineRule="atLeast"/>
        <w:jc w:val="both"/>
        <w:rPr>
          <w:rFonts w:cstheme="minorHAnsi"/>
          <w:color w:val="000000" w:themeColor="text1"/>
          <w:sz w:val="24"/>
        </w:rPr>
      </w:pPr>
      <w:r w:rsidRPr="003542CB">
        <w:rPr>
          <w:rFonts w:cstheme="minorHAnsi"/>
          <w:color w:val="000000" w:themeColor="text1"/>
          <w:sz w:val="24"/>
        </w:rPr>
        <w:t>Pojišťovna si uvědomuje, že úzká organizační struktura s sebou nese určitá</w:t>
      </w:r>
      <w:r w:rsidR="002659B7" w:rsidRPr="003542CB">
        <w:rPr>
          <w:rFonts w:cstheme="minorHAnsi"/>
          <w:color w:val="000000" w:themeColor="text1"/>
          <w:sz w:val="24"/>
        </w:rPr>
        <w:t xml:space="preserve"> rizika</w:t>
      </w:r>
      <w:r w:rsidRPr="003542CB">
        <w:rPr>
          <w:rFonts w:cstheme="minorHAnsi"/>
          <w:color w:val="000000" w:themeColor="text1"/>
          <w:sz w:val="24"/>
        </w:rPr>
        <w:t>, především personální</w:t>
      </w:r>
      <w:r w:rsidR="002659B7" w:rsidRPr="003542CB">
        <w:rPr>
          <w:rFonts w:cstheme="minorHAnsi"/>
          <w:color w:val="000000" w:themeColor="text1"/>
          <w:sz w:val="24"/>
        </w:rPr>
        <w:t>ho charakteru</w:t>
      </w:r>
      <w:r w:rsidRPr="003542CB">
        <w:rPr>
          <w:rFonts w:cstheme="minorHAnsi"/>
          <w:color w:val="000000" w:themeColor="text1"/>
          <w:sz w:val="24"/>
        </w:rPr>
        <w:t>. Z tohoto důvodu je hojně využíván outsourcing</w:t>
      </w:r>
      <w:r w:rsidR="00913A56" w:rsidRPr="003542CB">
        <w:rPr>
          <w:rFonts w:cstheme="minorHAnsi"/>
          <w:color w:val="000000" w:themeColor="text1"/>
          <w:sz w:val="24"/>
        </w:rPr>
        <w:t>.</w:t>
      </w:r>
    </w:p>
    <w:p w14:paraId="573433B9" w14:textId="6F416D9E" w:rsidR="00DD3C13" w:rsidRPr="003542CB" w:rsidRDefault="00E4627D" w:rsidP="00E3584D">
      <w:pPr>
        <w:spacing w:line="280" w:lineRule="atLeast"/>
        <w:jc w:val="both"/>
        <w:rPr>
          <w:rFonts w:cstheme="minorHAnsi"/>
          <w:color w:val="000000" w:themeColor="text1"/>
          <w:sz w:val="24"/>
        </w:rPr>
      </w:pPr>
      <w:r w:rsidRPr="003542CB">
        <w:rPr>
          <w:rFonts w:cstheme="minorHAnsi"/>
          <w:color w:val="000000" w:themeColor="text1"/>
          <w:sz w:val="24"/>
        </w:rPr>
        <w:t>ŘKS</w:t>
      </w:r>
      <w:r w:rsidR="00C21F1B" w:rsidRPr="003542CB">
        <w:rPr>
          <w:rFonts w:cstheme="minorHAnsi"/>
          <w:color w:val="000000" w:themeColor="text1"/>
          <w:sz w:val="24"/>
        </w:rPr>
        <w:t xml:space="preserve"> je vymezen interním směrnicí, konkrétně Odborným pokynem č. 19 – „Odborný pokyn pro zajištění činnosti nezávislého řídícího a kontrolního systému“.</w:t>
      </w:r>
      <w:r w:rsidRPr="003542CB">
        <w:rPr>
          <w:rFonts w:cstheme="minorHAnsi"/>
          <w:color w:val="000000" w:themeColor="text1"/>
          <w:sz w:val="24"/>
        </w:rPr>
        <w:t xml:space="preserve"> </w:t>
      </w:r>
    </w:p>
    <w:p w14:paraId="08B12BA8" w14:textId="3C173392" w:rsidR="00E152EA" w:rsidRPr="003542CB" w:rsidRDefault="00E152EA" w:rsidP="00E3584D">
      <w:pPr>
        <w:spacing w:line="280" w:lineRule="atLeast"/>
        <w:jc w:val="both"/>
        <w:rPr>
          <w:rFonts w:cstheme="minorHAnsi"/>
          <w:color w:val="000000" w:themeColor="text1"/>
          <w:sz w:val="24"/>
        </w:rPr>
      </w:pPr>
      <w:r w:rsidRPr="003542CB">
        <w:rPr>
          <w:rFonts w:cstheme="minorHAnsi"/>
          <w:color w:val="000000" w:themeColor="text1"/>
          <w:sz w:val="24"/>
        </w:rPr>
        <w:t>Vzhledem ke štíhlé organizační struktuře a malému počtu kmenových zaměstnanců představuje pro Pojišťovnu velkou výzvu minimalizace vzniku střetu zájmů</w:t>
      </w:r>
      <w:r w:rsidR="00521907" w:rsidRPr="003542CB">
        <w:rPr>
          <w:rFonts w:cstheme="minorHAnsi"/>
          <w:color w:val="000000" w:themeColor="text1"/>
          <w:sz w:val="24"/>
        </w:rPr>
        <w:t>. Tato oblast je řešena v souladu s vymezením kompetencí členů statutárních orgánů</w:t>
      </w:r>
      <w:r w:rsidR="000F766C" w:rsidRPr="003542CB">
        <w:rPr>
          <w:rFonts w:cstheme="minorHAnsi"/>
          <w:color w:val="000000" w:themeColor="text1"/>
          <w:sz w:val="24"/>
        </w:rPr>
        <w:t>.</w:t>
      </w:r>
      <w:r w:rsidR="00521907" w:rsidRPr="003542CB">
        <w:rPr>
          <w:rFonts w:cstheme="minorHAnsi"/>
          <w:color w:val="000000" w:themeColor="text1"/>
          <w:sz w:val="24"/>
        </w:rPr>
        <w:t xml:space="preserve"> Střet zájmů jednotlivých členů</w:t>
      </w:r>
      <w:r w:rsidR="00131C99" w:rsidRPr="003542CB">
        <w:rPr>
          <w:rFonts w:cstheme="minorHAnsi"/>
          <w:color w:val="000000" w:themeColor="text1"/>
          <w:sz w:val="24"/>
        </w:rPr>
        <w:t xml:space="preserve"> statutárních orgánů je vyřešen oddělením jejich odměn od výsledků hospodaření Pojišťovny, čímž je zajištěno, aby jejich rozhodnutí nezhoršila rizikový profil Pojišťovny. Zároveň předseda představenstva Pojišťovny je držitelem klíčové funkce řízení rizik a posuzuje tak přijímaná rozhodnutí především z pohledu řízení rizik a s cílem udržení velmi konzervativní strategie řízení rizik.</w:t>
      </w:r>
    </w:p>
    <w:p w14:paraId="78467D6D" w14:textId="77777777" w:rsidR="009835E2" w:rsidRDefault="009835E2" w:rsidP="009835E2">
      <w:pPr>
        <w:autoSpaceDE w:val="0"/>
        <w:autoSpaceDN w:val="0"/>
        <w:adjustRightInd w:val="0"/>
        <w:spacing w:after="0" w:line="280" w:lineRule="atLeast"/>
        <w:rPr>
          <w:rFonts w:cstheme="minorHAnsi"/>
          <w:b/>
          <w:color w:val="000000" w:themeColor="text1"/>
          <w:sz w:val="24"/>
          <w:u w:val="single"/>
        </w:rPr>
      </w:pPr>
    </w:p>
    <w:p w14:paraId="58993EDC" w14:textId="6122348A" w:rsidR="00B978CB" w:rsidRPr="003542CB" w:rsidRDefault="00B978CB" w:rsidP="009835E2">
      <w:pPr>
        <w:autoSpaceDE w:val="0"/>
        <w:autoSpaceDN w:val="0"/>
        <w:adjustRightInd w:val="0"/>
        <w:spacing w:after="0" w:line="280" w:lineRule="atLeast"/>
        <w:rPr>
          <w:rFonts w:cstheme="minorHAnsi"/>
          <w:b/>
          <w:color w:val="000000" w:themeColor="text1"/>
          <w:sz w:val="24"/>
          <w:u w:val="single"/>
        </w:rPr>
      </w:pPr>
      <w:r w:rsidRPr="003542CB">
        <w:rPr>
          <w:rFonts w:cstheme="minorHAnsi"/>
          <w:b/>
          <w:color w:val="000000" w:themeColor="text1"/>
          <w:sz w:val="24"/>
          <w:u w:val="single"/>
        </w:rPr>
        <w:t>Výbor pro audit</w:t>
      </w:r>
      <w:r w:rsidR="007B439E" w:rsidRPr="003542CB">
        <w:rPr>
          <w:rFonts w:cstheme="minorHAnsi"/>
          <w:b/>
          <w:color w:val="000000" w:themeColor="text1"/>
          <w:sz w:val="24"/>
          <w:u w:val="single"/>
        </w:rPr>
        <w:t xml:space="preserve">       </w:t>
      </w:r>
    </w:p>
    <w:p w14:paraId="0A0D5EF5" w14:textId="77777777" w:rsidR="007B439E" w:rsidRPr="003542CB" w:rsidRDefault="007B439E" w:rsidP="00E3584D">
      <w:pPr>
        <w:autoSpaceDE w:val="0"/>
        <w:autoSpaceDN w:val="0"/>
        <w:adjustRightInd w:val="0"/>
        <w:spacing w:after="0" w:line="280" w:lineRule="atLeast"/>
        <w:ind w:left="720"/>
        <w:rPr>
          <w:rFonts w:cstheme="minorHAnsi"/>
          <w:b/>
          <w:color w:val="000000" w:themeColor="text1"/>
          <w:sz w:val="24"/>
        </w:rPr>
      </w:pPr>
    </w:p>
    <w:p w14:paraId="3E009919" w14:textId="77777777" w:rsidR="00B978CB" w:rsidRPr="003542CB" w:rsidRDefault="00B978CB" w:rsidP="009835E2">
      <w:pPr>
        <w:spacing w:after="0" w:line="280" w:lineRule="atLeast"/>
        <w:jc w:val="both"/>
        <w:rPr>
          <w:rFonts w:cstheme="minorHAnsi"/>
          <w:b/>
          <w:color w:val="000000" w:themeColor="text1"/>
          <w:sz w:val="24"/>
        </w:rPr>
      </w:pPr>
      <w:r w:rsidRPr="003542CB">
        <w:rPr>
          <w:rFonts w:cstheme="minorHAnsi"/>
          <w:b/>
          <w:color w:val="000000" w:themeColor="text1"/>
          <w:sz w:val="24"/>
        </w:rPr>
        <w:t>RNDr. Lubomír Netolický</w:t>
      </w:r>
    </w:p>
    <w:p w14:paraId="37FE217C" w14:textId="225FCB7B" w:rsidR="007B439E" w:rsidRPr="003542CB" w:rsidRDefault="007B439E" w:rsidP="00E3584D">
      <w:pPr>
        <w:spacing w:line="280" w:lineRule="atLeast"/>
        <w:jc w:val="both"/>
        <w:rPr>
          <w:rFonts w:cstheme="minorHAnsi"/>
          <w:color w:val="000000" w:themeColor="text1"/>
          <w:sz w:val="24"/>
        </w:rPr>
      </w:pPr>
      <w:r w:rsidRPr="003542CB">
        <w:rPr>
          <w:rFonts w:cstheme="minorHAnsi"/>
          <w:color w:val="000000" w:themeColor="text1"/>
          <w:sz w:val="24"/>
        </w:rPr>
        <w:tab/>
      </w:r>
      <w:r w:rsidR="00F46033" w:rsidRPr="003542CB">
        <w:rPr>
          <w:rFonts w:cstheme="minorHAnsi"/>
          <w:color w:val="000000" w:themeColor="text1"/>
          <w:sz w:val="24"/>
        </w:rPr>
        <w:t>předseda V</w:t>
      </w:r>
      <w:r w:rsidRPr="003542CB">
        <w:rPr>
          <w:rFonts w:cstheme="minorHAnsi"/>
          <w:color w:val="000000" w:themeColor="text1"/>
          <w:sz w:val="24"/>
        </w:rPr>
        <w:t>ýboru pro audit od 9.</w:t>
      </w:r>
      <w:r w:rsidR="00D84197" w:rsidRPr="003542CB">
        <w:rPr>
          <w:rFonts w:cstheme="minorHAnsi"/>
          <w:color w:val="000000" w:themeColor="text1"/>
          <w:sz w:val="24"/>
        </w:rPr>
        <w:t xml:space="preserve"> </w:t>
      </w:r>
      <w:r w:rsidRPr="003542CB">
        <w:rPr>
          <w:rFonts w:cstheme="minorHAnsi"/>
          <w:color w:val="000000" w:themeColor="text1"/>
          <w:sz w:val="24"/>
        </w:rPr>
        <w:t>2.</w:t>
      </w:r>
      <w:r w:rsidR="00D84197" w:rsidRPr="003542CB">
        <w:rPr>
          <w:rFonts w:cstheme="minorHAnsi"/>
          <w:color w:val="000000" w:themeColor="text1"/>
          <w:sz w:val="24"/>
        </w:rPr>
        <w:t xml:space="preserve"> </w:t>
      </w:r>
      <w:r w:rsidRPr="003542CB">
        <w:rPr>
          <w:rFonts w:cstheme="minorHAnsi"/>
          <w:color w:val="000000" w:themeColor="text1"/>
          <w:sz w:val="24"/>
        </w:rPr>
        <w:t>2016</w:t>
      </w:r>
    </w:p>
    <w:p w14:paraId="5E0F6017" w14:textId="77777777" w:rsidR="002D7CBE" w:rsidRPr="003542CB" w:rsidRDefault="002D7CBE" w:rsidP="009835E2">
      <w:pPr>
        <w:spacing w:after="0" w:line="280" w:lineRule="atLeast"/>
        <w:jc w:val="both"/>
        <w:rPr>
          <w:rFonts w:cstheme="minorHAnsi"/>
          <w:b/>
          <w:color w:val="000000" w:themeColor="text1"/>
          <w:sz w:val="24"/>
        </w:rPr>
      </w:pPr>
      <w:r w:rsidRPr="003542CB">
        <w:rPr>
          <w:rFonts w:cstheme="minorHAnsi"/>
          <w:b/>
          <w:color w:val="000000" w:themeColor="text1"/>
          <w:sz w:val="24"/>
        </w:rPr>
        <w:t>Ing. Jan Babický</w:t>
      </w:r>
    </w:p>
    <w:p w14:paraId="0EE64DC4" w14:textId="77777777" w:rsidR="002D7CBE" w:rsidRPr="003542CB" w:rsidRDefault="002D7CBE" w:rsidP="00E3584D">
      <w:pPr>
        <w:spacing w:line="280" w:lineRule="atLeast"/>
        <w:jc w:val="both"/>
        <w:rPr>
          <w:rFonts w:cstheme="minorHAnsi"/>
          <w:color w:val="000000" w:themeColor="text1"/>
          <w:sz w:val="24"/>
        </w:rPr>
      </w:pPr>
      <w:r w:rsidRPr="003542CB">
        <w:rPr>
          <w:rFonts w:cstheme="minorHAnsi"/>
          <w:color w:val="000000" w:themeColor="text1"/>
          <w:sz w:val="24"/>
        </w:rPr>
        <w:tab/>
        <w:t>místopředseda Výboru pro audit od 9. 12. 2019 (člen od 1. 7. 2019)</w:t>
      </w:r>
    </w:p>
    <w:p w14:paraId="0D7E6606" w14:textId="77777777" w:rsidR="007B439E" w:rsidRPr="003542CB" w:rsidRDefault="007B439E" w:rsidP="009835E2">
      <w:pPr>
        <w:spacing w:after="0" w:line="280" w:lineRule="atLeast"/>
        <w:jc w:val="both"/>
        <w:rPr>
          <w:rFonts w:cstheme="minorHAnsi"/>
          <w:b/>
          <w:color w:val="000000" w:themeColor="text1"/>
          <w:sz w:val="24"/>
        </w:rPr>
      </w:pPr>
      <w:r w:rsidRPr="003542CB">
        <w:rPr>
          <w:rFonts w:cstheme="minorHAnsi"/>
          <w:b/>
          <w:color w:val="000000" w:themeColor="text1"/>
          <w:sz w:val="24"/>
        </w:rPr>
        <w:t>Ing. Věra Skalská</w:t>
      </w:r>
    </w:p>
    <w:p w14:paraId="451CAAA7" w14:textId="7D4EA406" w:rsidR="007B439E" w:rsidRPr="003542CB" w:rsidRDefault="007B439E" w:rsidP="00E3584D">
      <w:pPr>
        <w:spacing w:line="280" w:lineRule="atLeast"/>
        <w:jc w:val="both"/>
        <w:rPr>
          <w:rFonts w:cstheme="minorHAnsi"/>
          <w:color w:val="000000" w:themeColor="text1"/>
          <w:sz w:val="24"/>
        </w:rPr>
      </w:pPr>
      <w:r w:rsidRPr="003542CB">
        <w:rPr>
          <w:rFonts w:cstheme="minorHAnsi"/>
          <w:color w:val="000000" w:themeColor="text1"/>
          <w:sz w:val="24"/>
        </w:rPr>
        <w:tab/>
        <w:t xml:space="preserve">členka </w:t>
      </w:r>
      <w:r w:rsidR="00F46033" w:rsidRPr="003542CB">
        <w:rPr>
          <w:rFonts w:cstheme="minorHAnsi"/>
          <w:color w:val="000000" w:themeColor="text1"/>
          <w:sz w:val="24"/>
        </w:rPr>
        <w:t>V</w:t>
      </w:r>
      <w:r w:rsidRPr="003542CB">
        <w:rPr>
          <w:rFonts w:cstheme="minorHAnsi"/>
          <w:color w:val="000000" w:themeColor="text1"/>
          <w:sz w:val="24"/>
        </w:rPr>
        <w:t>ýboru pro audit od 9.</w:t>
      </w:r>
      <w:r w:rsidR="00D84197" w:rsidRPr="003542CB">
        <w:rPr>
          <w:rFonts w:cstheme="minorHAnsi"/>
          <w:color w:val="000000" w:themeColor="text1"/>
          <w:sz w:val="24"/>
        </w:rPr>
        <w:t xml:space="preserve"> </w:t>
      </w:r>
      <w:r w:rsidRPr="003542CB">
        <w:rPr>
          <w:rFonts w:cstheme="minorHAnsi"/>
          <w:color w:val="000000" w:themeColor="text1"/>
          <w:sz w:val="24"/>
        </w:rPr>
        <w:t>2.</w:t>
      </w:r>
      <w:r w:rsidR="00D84197" w:rsidRPr="003542CB">
        <w:rPr>
          <w:rFonts w:cstheme="minorHAnsi"/>
          <w:color w:val="000000" w:themeColor="text1"/>
          <w:sz w:val="24"/>
        </w:rPr>
        <w:t xml:space="preserve"> </w:t>
      </w:r>
      <w:r w:rsidRPr="003542CB">
        <w:rPr>
          <w:rFonts w:cstheme="minorHAnsi"/>
          <w:color w:val="000000" w:themeColor="text1"/>
          <w:sz w:val="24"/>
        </w:rPr>
        <w:t>2016</w:t>
      </w:r>
    </w:p>
    <w:p w14:paraId="77CBA487" w14:textId="77777777" w:rsidR="00A25CF3" w:rsidRPr="003542CB" w:rsidRDefault="00A25CF3" w:rsidP="00E3584D">
      <w:pPr>
        <w:spacing w:line="280" w:lineRule="atLeast"/>
        <w:jc w:val="both"/>
        <w:rPr>
          <w:rFonts w:cstheme="minorHAnsi"/>
          <w:i/>
          <w:color w:val="000000" w:themeColor="text1"/>
          <w:sz w:val="24"/>
        </w:rPr>
      </w:pPr>
    </w:p>
    <w:p w14:paraId="5A73C368" w14:textId="595AD5CE" w:rsidR="00CF4115" w:rsidRPr="003542CB" w:rsidRDefault="0061142A" w:rsidP="009835E2">
      <w:pPr>
        <w:pStyle w:val="Nadpis2"/>
        <w:spacing w:after="120" w:line="280" w:lineRule="atLeast"/>
        <w:rPr>
          <w:rFonts w:asciiTheme="minorHAnsi" w:hAnsiTheme="minorHAnsi" w:cstheme="minorHAnsi"/>
          <w:b/>
          <w:color w:val="000000" w:themeColor="text1"/>
        </w:rPr>
      </w:pPr>
      <w:bookmarkStart w:id="21" w:name="_Toc75366890"/>
      <w:r w:rsidRPr="003542CB">
        <w:rPr>
          <w:rFonts w:asciiTheme="minorHAnsi" w:hAnsiTheme="minorHAnsi" w:cstheme="minorHAnsi"/>
          <w:b/>
          <w:color w:val="000000" w:themeColor="text1"/>
        </w:rPr>
        <w:t>4.</w:t>
      </w:r>
      <w:r w:rsidR="006721C6" w:rsidRPr="003542CB">
        <w:rPr>
          <w:rFonts w:asciiTheme="minorHAnsi" w:hAnsiTheme="minorHAnsi" w:cstheme="minorHAnsi"/>
          <w:b/>
          <w:color w:val="000000" w:themeColor="text1"/>
        </w:rPr>
        <w:t>3</w:t>
      </w:r>
      <w:r w:rsidR="00CF4115" w:rsidRPr="003542CB">
        <w:rPr>
          <w:rFonts w:asciiTheme="minorHAnsi" w:hAnsiTheme="minorHAnsi" w:cstheme="minorHAnsi"/>
          <w:b/>
          <w:color w:val="000000" w:themeColor="text1"/>
        </w:rPr>
        <w:t>. Klíčové funkce v</w:t>
      </w:r>
      <w:r w:rsidR="00A25CF3" w:rsidRPr="003542CB">
        <w:rPr>
          <w:rFonts w:asciiTheme="minorHAnsi" w:hAnsiTheme="minorHAnsi" w:cstheme="minorHAnsi"/>
          <w:b/>
          <w:color w:val="000000" w:themeColor="text1"/>
        </w:rPr>
        <w:t> </w:t>
      </w:r>
      <w:r w:rsidR="00CF4115" w:rsidRPr="003542CB">
        <w:rPr>
          <w:rFonts w:asciiTheme="minorHAnsi" w:hAnsiTheme="minorHAnsi" w:cstheme="minorHAnsi"/>
          <w:b/>
          <w:color w:val="000000" w:themeColor="text1"/>
        </w:rPr>
        <w:t>Pojišťovně</w:t>
      </w:r>
      <w:bookmarkEnd w:id="21"/>
    </w:p>
    <w:p w14:paraId="26524D7D" w14:textId="4E3CB9DE" w:rsidR="00127946" w:rsidRPr="003542CB" w:rsidRDefault="00CF4115" w:rsidP="00E3584D">
      <w:pPr>
        <w:spacing w:line="280" w:lineRule="atLeast"/>
        <w:jc w:val="both"/>
        <w:rPr>
          <w:rFonts w:cstheme="minorHAnsi"/>
          <w:color w:val="000000" w:themeColor="text1"/>
          <w:sz w:val="24"/>
        </w:rPr>
      </w:pPr>
      <w:r w:rsidRPr="003542CB">
        <w:rPr>
          <w:rFonts w:cstheme="minorHAnsi"/>
          <w:color w:val="000000" w:themeColor="text1"/>
          <w:sz w:val="24"/>
        </w:rPr>
        <w:t xml:space="preserve">V organizační struktuře nejsou </w:t>
      </w:r>
      <w:r w:rsidR="00A4466E" w:rsidRPr="003542CB">
        <w:rPr>
          <w:rFonts w:cstheme="minorHAnsi"/>
          <w:color w:val="000000" w:themeColor="text1"/>
          <w:sz w:val="24"/>
        </w:rPr>
        <w:t xml:space="preserve">individuálně </w:t>
      </w:r>
      <w:r w:rsidRPr="003542CB">
        <w:rPr>
          <w:rFonts w:cstheme="minorHAnsi"/>
          <w:color w:val="000000" w:themeColor="text1"/>
          <w:sz w:val="24"/>
        </w:rPr>
        <w:t xml:space="preserve">zobrazeny klíčové funkce. Mezi klíčové funkce dle pravidel </w:t>
      </w:r>
      <w:proofErr w:type="spellStart"/>
      <w:r w:rsidRPr="003542CB">
        <w:rPr>
          <w:rFonts w:cstheme="minorHAnsi"/>
          <w:color w:val="000000" w:themeColor="text1"/>
          <w:sz w:val="24"/>
        </w:rPr>
        <w:t>Solvency</w:t>
      </w:r>
      <w:proofErr w:type="spellEnd"/>
      <w:r w:rsidRPr="003542CB">
        <w:rPr>
          <w:rFonts w:cstheme="minorHAnsi"/>
          <w:color w:val="000000" w:themeColor="text1"/>
          <w:sz w:val="24"/>
        </w:rPr>
        <w:t xml:space="preserve"> II patří funkce řízení rizik, </w:t>
      </w:r>
      <w:proofErr w:type="spellStart"/>
      <w:r w:rsidRPr="003542CB">
        <w:rPr>
          <w:rFonts w:cstheme="minorHAnsi"/>
          <w:color w:val="000000" w:themeColor="text1"/>
          <w:sz w:val="24"/>
        </w:rPr>
        <w:t>compliance</w:t>
      </w:r>
      <w:proofErr w:type="spellEnd"/>
      <w:r w:rsidRPr="003542CB">
        <w:rPr>
          <w:rFonts w:cstheme="minorHAnsi"/>
          <w:color w:val="000000" w:themeColor="text1"/>
          <w:sz w:val="24"/>
        </w:rPr>
        <w:t xml:space="preserve"> funkce, </w:t>
      </w:r>
      <w:proofErr w:type="spellStart"/>
      <w:r w:rsidRPr="003542CB">
        <w:rPr>
          <w:rFonts w:cstheme="minorHAnsi"/>
          <w:color w:val="000000" w:themeColor="text1"/>
          <w:sz w:val="24"/>
        </w:rPr>
        <w:t>pojistněmatematická</w:t>
      </w:r>
      <w:proofErr w:type="spellEnd"/>
      <w:r w:rsidRPr="003542CB">
        <w:rPr>
          <w:rFonts w:cstheme="minorHAnsi"/>
          <w:color w:val="000000" w:themeColor="text1"/>
          <w:sz w:val="24"/>
        </w:rPr>
        <w:t xml:space="preserve"> funkce a funkce interního auditu. </w:t>
      </w:r>
      <w:r w:rsidR="007F2B2E" w:rsidRPr="003542CB">
        <w:rPr>
          <w:rFonts w:cstheme="minorHAnsi"/>
          <w:color w:val="000000" w:themeColor="text1"/>
          <w:sz w:val="24"/>
        </w:rPr>
        <w:t xml:space="preserve">Zároveň je v případě Pojišťovny považována </w:t>
      </w:r>
      <w:r w:rsidR="00AF65B6" w:rsidRPr="003542CB">
        <w:rPr>
          <w:rFonts w:cstheme="minorHAnsi"/>
          <w:color w:val="000000" w:themeColor="text1"/>
          <w:sz w:val="24"/>
        </w:rPr>
        <w:t xml:space="preserve">za </w:t>
      </w:r>
      <w:r w:rsidR="007F2B2E" w:rsidRPr="003542CB">
        <w:rPr>
          <w:rFonts w:cstheme="minorHAnsi"/>
          <w:color w:val="000000" w:themeColor="text1"/>
          <w:sz w:val="24"/>
        </w:rPr>
        <w:t>klíčov</w:t>
      </w:r>
      <w:r w:rsidR="00AF65B6" w:rsidRPr="003542CB">
        <w:rPr>
          <w:rFonts w:cstheme="minorHAnsi"/>
          <w:color w:val="000000" w:themeColor="text1"/>
          <w:sz w:val="24"/>
        </w:rPr>
        <w:t>ou</w:t>
      </w:r>
      <w:r w:rsidR="007F2B2E" w:rsidRPr="003542CB">
        <w:rPr>
          <w:rFonts w:cstheme="minorHAnsi"/>
          <w:color w:val="000000" w:themeColor="text1"/>
          <w:sz w:val="24"/>
        </w:rPr>
        <w:t xml:space="preserve"> funkc</w:t>
      </w:r>
      <w:r w:rsidR="00AF65B6" w:rsidRPr="003542CB">
        <w:rPr>
          <w:rFonts w:cstheme="minorHAnsi"/>
          <w:color w:val="000000" w:themeColor="text1"/>
          <w:sz w:val="24"/>
        </w:rPr>
        <w:t>i</w:t>
      </w:r>
      <w:r w:rsidR="007F2B2E" w:rsidRPr="003542CB">
        <w:rPr>
          <w:rFonts w:cstheme="minorHAnsi"/>
          <w:color w:val="000000" w:themeColor="text1"/>
          <w:sz w:val="24"/>
        </w:rPr>
        <w:t xml:space="preserve"> také pozice generálního a výkonného ředitele.</w:t>
      </w:r>
      <w:r w:rsidR="00A4466E" w:rsidRPr="003542CB">
        <w:rPr>
          <w:rFonts w:cstheme="minorHAnsi"/>
          <w:color w:val="000000" w:themeColor="text1"/>
          <w:sz w:val="24"/>
        </w:rPr>
        <w:t xml:space="preserve"> </w:t>
      </w:r>
      <w:r w:rsidR="00A4466E" w:rsidRPr="003542CB">
        <w:rPr>
          <w:rFonts w:cstheme="minorHAnsi"/>
          <w:color w:val="000000" w:themeColor="text1"/>
          <w:sz w:val="24"/>
        </w:rPr>
        <w:lastRenderedPageBreak/>
        <w:t xml:space="preserve">Vzhledem k malému počtu kmenových zaměstnanců je i pro jednu z klíčových funkcí, </w:t>
      </w:r>
      <w:proofErr w:type="spellStart"/>
      <w:r w:rsidR="00A4466E" w:rsidRPr="003542CB">
        <w:rPr>
          <w:rFonts w:cstheme="minorHAnsi"/>
          <w:color w:val="000000" w:themeColor="text1"/>
          <w:sz w:val="24"/>
        </w:rPr>
        <w:t>pojistněmatematickou</w:t>
      </w:r>
      <w:proofErr w:type="spellEnd"/>
      <w:r w:rsidR="00A4466E" w:rsidRPr="003542CB">
        <w:rPr>
          <w:rFonts w:cstheme="minorHAnsi"/>
          <w:color w:val="000000" w:themeColor="text1"/>
          <w:sz w:val="24"/>
        </w:rPr>
        <w:t xml:space="preserve"> funkci, využíván outsourcing.</w:t>
      </w:r>
    </w:p>
    <w:p w14:paraId="3E7369AF" w14:textId="77777777" w:rsidR="00127946" w:rsidRPr="003542CB" w:rsidRDefault="00CF4115" w:rsidP="009835E2">
      <w:pPr>
        <w:spacing w:line="280" w:lineRule="atLeast"/>
        <w:jc w:val="both"/>
        <w:rPr>
          <w:rFonts w:cstheme="minorHAnsi"/>
          <w:color w:val="000000" w:themeColor="text1"/>
          <w:sz w:val="24"/>
        </w:rPr>
      </w:pPr>
      <w:r w:rsidRPr="003542CB">
        <w:rPr>
          <w:rFonts w:cstheme="minorHAnsi"/>
          <w:color w:val="000000" w:themeColor="text1"/>
          <w:sz w:val="24"/>
        </w:rPr>
        <w:t>Za funkci řízení rizik je zodpovědný předseda představenstva Ing. Ladislav Friedrich</w:t>
      </w:r>
      <w:r w:rsidR="00127946" w:rsidRPr="003542CB">
        <w:rPr>
          <w:rFonts w:cstheme="minorHAnsi"/>
          <w:color w:val="000000" w:themeColor="text1"/>
          <w:sz w:val="24"/>
        </w:rPr>
        <w:t>, </w:t>
      </w:r>
      <w:r w:rsidRPr="003542CB">
        <w:rPr>
          <w:rFonts w:cstheme="minorHAnsi"/>
          <w:color w:val="000000" w:themeColor="text1"/>
          <w:sz w:val="24"/>
        </w:rPr>
        <w:t xml:space="preserve">CSc. </w:t>
      </w:r>
      <w:r w:rsidR="0004458C" w:rsidRPr="003542CB">
        <w:rPr>
          <w:rFonts w:cstheme="minorHAnsi"/>
          <w:color w:val="000000" w:themeColor="text1"/>
          <w:sz w:val="24"/>
        </w:rPr>
        <w:t xml:space="preserve">Běžnou činností jsou pověřeni vybraní zaměstnanci </w:t>
      </w:r>
      <w:r w:rsidR="00F213B6" w:rsidRPr="003542CB">
        <w:rPr>
          <w:rFonts w:cstheme="minorHAnsi"/>
          <w:color w:val="000000" w:themeColor="text1"/>
          <w:sz w:val="24"/>
        </w:rPr>
        <w:t>Pojišťovny</w:t>
      </w:r>
      <w:r w:rsidR="0004458C" w:rsidRPr="003542CB">
        <w:rPr>
          <w:rFonts w:cstheme="minorHAnsi"/>
          <w:color w:val="000000" w:themeColor="text1"/>
          <w:sz w:val="24"/>
        </w:rPr>
        <w:t>, kteří připravují relevantní informace a podklady k rozhodnutí. Zároveň je v zásadních otázkách vyžadováno vyjádření výboru pro řízení rizik, jehož funkci zajišťuje dozorčí rada. Mezi výborem pro řízení rizik a funkcí řízení rizik je zajištěna intenzivní spolupráce a výměna informací</w:t>
      </w:r>
      <w:r w:rsidR="007F2B2E" w:rsidRPr="003542CB">
        <w:rPr>
          <w:rFonts w:cstheme="minorHAnsi"/>
          <w:color w:val="000000" w:themeColor="text1"/>
          <w:sz w:val="24"/>
        </w:rPr>
        <w:t>.</w:t>
      </w:r>
    </w:p>
    <w:p w14:paraId="6CAA3E08" w14:textId="3FE26C28" w:rsidR="00127946" w:rsidRPr="003542CB" w:rsidRDefault="00CF4115" w:rsidP="009835E2">
      <w:pPr>
        <w:spacing w:line="280" w:lineRule="atLeast"/>
        <w:jc w:val="both"/>
        <w:rPr>
          <w:rFonts w:cstheme="minorHAnsi"/>
          <w:color w:val="000000" w:themeColor="text1"/>
          <w:sz w:val="24"/>
        </w:rPr>
      </w:pPr>
      <w:r w:rsidRPr="003542CB">
        <w:rPr>
          <w:rFonts w:cstheme="minorHAnsi"/>
          <w:color w:val="000000" w:themeColor="text1"/>
          <w:sz w:val="24"/>
        </w:rPr>
        <w:t xml:space="preserve">Zodpovědnost za funkci </w:t>
      </w:r>
      <w:proofErr w:type="spellStart"/>
      <w:r w:rsidRPr="003542CB">
        <w:rPr>
          <w:rFonts w:cstheme="minorHAnsi"/>
          <w:color w:val="000000" w:themeColor="text1"/>
          <w:sz w:val="24"/>
        </w:rPr>
        <w:t>com</w:t>
      </w:r>
      <w:r w:rsidR="00127946" w:rsidRPr="003542CB">
        <w:rPr>
          <w:rFonts w:cstheme="minorHAnsi"/>
          <w:color w:val="000000" w:themeColor="text1"/>
          <w:sz w:val="24"/>
        </w:rPr>
        <w:t>p</w:t>
      </w:r>
      <w:r w:rsidRPr="003542CB">
        <w:rPr>
          <w:rFonts w:cstheme="minorHAnsi"/>
          <w:color w:val="000000" w:themeColor="text1"/>
          <w:sz w:val="24"/>
        </w:rPr>
        <w:t>liance</w:t>
      </w:r>
      <w:proofErr w:type="spellEnd"/>
      <w:r w:rsidRPr="003542CB">
        <w:rPr>
          <w:rFonts w:cstheme="minorHAnsi"/>
          <w:color w:val="000000" w:themeColor="text1"/>
          <w:sz w:val="24"/>
        </w:rPr>
        <w:t xml:space="preserve"> je na člence představenstva Mgr. Lence Novotné. Pro plnění těchto funkcí jsou v případě potřeby k dispozici další zaměstnanci Pojišťovny, resp. i externí právní kancelář v případě </w:t>
      </w:r>
      <w:proofErr w:type="spellStart"/>
      <w:r w:rsidRPr="003542CB">
        <w:rPr>
          <w:rFonts w:cstheme="minorHAnsi"/>
          <w:color w:val="000000" w:themeColor="text1"/>
          <w:sz w:val="24"/>
        </w:rPr>
        <w:t>compliance</w:t>
      </w:r>
      <w:proofErr w:type="spellEnd"/>
      <w:r w:rsidRPr="003542CB">
        <w:rPr>
          <w:rFonts w:cstheme="minorHAnsi"/>
          <w:color w:val="000000" w:themeColor="text1"/>
          <w:sz w:val="24"/>
        </w:rPr>
        <w:t xml:space="preserve"> funkce. </w:t>
      </w:r>
      <w:r w:rsidR="007F2B2E" w:rsidRPr="003542CB">
        <w:rPr>
          <w:rFonts w:cstheme="minorHAnsi"/>
          <w:color w:val="000000" w:themeColor="text1"/>
          <w:sz w:val="24"/>
        </w:rPr>
        <w:t xml:space="preserve">Hlavní náplní funkce </w:t>
      </w:r>
      <w:proofErr w:type="spellStart"/>
      <w:r w:rsidR="007F2B2E" w:rsidRPr="003542CB">
        <w:rPr>
          <w:rFonts w:cstheme="minorHAnsi"/>
          <w:color w:val="000000" w:themeColor="text1"/>
          <w:sz w:val="24"/>
        </w:rPr>
        <w:t>compliance</w:t>
      </w:r>
      <w:proofErr w:type="spellEnd"/>
      <w:r w:rsidR="007F2B2E" w:rsidRPr="003542CB">
        <w:rPr>
          <w:rFonts w:cstheme="minorHAnsi"/>
          <w:color w:val="000000" w:themeColor="text1"/>
          <w:sz w:val="24"/>
        </w:rPr>
        <w:t xml:space="preserve"> je zajišťování souladu s legislativními požadavky a kontrola smluvních ujednání podepisovaných zástupci představenstva ve jménu Pojišťovny.</w:t>
      </w:r>
      <w:r w:rsidR="00286269" w:rsidRPr="003542CB">
        <w:rPr>
          <w:rFonts w:cstheme="minorHAnsi"/>
          <w:color w:val="000000" w:themeColor="text1"/>
          <w:sz w:val="24"/>
        </w:rPr>
        <w:t xml:space="preserve"> </w:t>
      </w:r>
    </w:p>
    <w:p w14:paraId="5A1AA27B" w14:textId="5B22030E" w:rsidR="00875A22" w:rsidRPr="003542CB" w:rsidRDefault="00CF4115" w:rsidP="009835E2">
      <w:pPr>
        <w:spacing w:line="280" w:lineRule="atLeast"/>
        <w:jc w:val="both"/>
        <w:rPr>
          <w:rFonts w:cstheme="minorHAnsi"/>
          <w:sz w:val="24"/>
          <w:szCs w:val="24"/>
        </w:rPr>
      </w:pPr>
      <w:r w:rsidRPr="003542CB">
        <w:rPr>
          <w:rFonts w:cstheme="minorHAnsi"/>
          <w:color w:val="000000" w:themeColor="text1"/>
          <w:sz w:val="24"/>
        </w:rPr>
        <w:t xml:space="preserve">Funkce interního auditu </w:t>
      </w:r>
      <w:r w:rsidR="007F2B2E" w:rsidRPr="003542CB">
        <w:rPr>
          <w:rFonts w:cstheme="minorHAnsi"/>
          <w:color w:val="000000" w:themeColor="text1"/>
          <w:sz w:val="24"/>
        </w:rPr>
        <w:t>byla ve sledovaném období</w:t>
      </w:r>
      <w:r w:rsidRPr="003542CB">
        <w:rPr>
          <w:rFonts w:cstheme="minorHAnsi"/>
          <w:color w:val="000000" w:themeColor="text1"/>
          <w:sz w:val="24"/>
        </w:rPr>
        <w:t xml:space="preserve"> </w:t>
      </w:r>
      <w:r w:rsidR="00A65320" w:rsidRPr="003542CB">
        <w:rPr>
          <w:rFonts w:cstheme="minorHAnsi"/>
          <w:color w:val="000000" w:themeColor="text1"/>
          <w:sz w:val="24"/>
        </w:rPr>
        <w:t xml:space="preserve">zajišťována </w:t>
      </w:r>
      <w:r w:rsidR="00D6535B" w:rsidRPr="003542CB">
        <w:rPr>
          <w:rFonts w:cstheme="minorHAnsi"/>
          <w:color w:val="000000" w:themeColor="text1"/>
          <w:sz w:val="24"/>
        </w:rPr>
        <w:t>Ing. Petr</w:t>
      </w:r>
      <w:r w:rsidR="00A65320" w:rsidRPr="003542CB">
        <w:rPr>
          <w:rFonts w:cstheme="minorHAnsi"/>
          <w:color w:val="000000" w:themeColor="text1"/>
          <w:sz w:val="24"/>
        </w:rPr>
        <w:t xml:space="preserve">ou </w:t>
      </w:r>
      <w:r w:rsidR="00D6535B" w:rsidRPr="003542CB">
        <w:rPr>
          <w:rFonts w:cstheme="minorHAnsi"/>
          <w:color w:val="000000" w:themeColor="text1"/>
          <w:sz w:val="24"/>
        </w:rPr>
        <w:t>Paulusov</w:t>
      </w:r>
      <w:r w:rsidR="00A65320" w:rsidRPr="003542CB">
        <w:rPr>
          <w:rFonts w:cstheme="minorHAnsi"/>
          <w:color w:val="000000" w:themeColor="text1"/>
          <w:sz w:val="24"/>
        </w:rPr>
        <w:t xml:space="preserve">ou. </w:t>
      </w:r>
      <w:r w:rsidR="00D6535B" w:rsidRPr="003542CB">
        <w:rPr>
          <w:rFonts w:cstheme="minorHAnsi"/>
          <w:color w:val="000000" w:themeColor="text1"/>
          <w:sz w:val="24"/>
        </w:rPr>
        <w:t xml:space="preserve">Funkce interního auditu se během reportovaného období řídila plánem auditu pro rok </w:t>
      </w:r>
      <w:r w:rsidR="00D84197" w:rsidRPr="003542CB">
        <w:rPr>
          <w:rFonts w:cstheme="minorHAnsi"/>
          <w:color w:val="000000" w:themeColor="text1"/>
          <w:sz w:val="24"/>
        </w:rPr>
        <w:t>2020</w:t>
      </w:r>
      <w:r w:rsidR="00D6535B" w:rsidRPr="003542CB">
        <w:rPr>
          <w:rFonts w:cstheme="minorHAnsi"/>
          <w:color w:val="000000" w:themeColor="text1"/>
          <w:sz w:val="24"/>
        </w:rPr>
        <w:t>, který byl schválen vedením Pojišťovny a Výborem pro audit</w:t>
      </w:r>
    </w:p>
    <w:p w14:paraId="4AD81FFA" w14:textId="30DE1B81" w:rsidR="008D664E" w:rsidRPr="003542CB" w:rsidRDefault="008D664E" w:rsidP="009835E2">
      <w:pPr>
        <w:spacing w:line="280" w:lineRule="atLeast"/>
        <w:jc w:val="both"/>
        <w:rPr>
          <w:rFonts w:cstheme="minorHAnsi"/>
          <w:sz w:val="24"/>
          <w:szCs w:val="24"/>
        </w:rPr>
      </w:pPr>
      <w:r w:rsidRPr="003542CB">
        <w:rPr>
          <w:rFonts w:cstheme="minorHAnsi"/>
          <w:sz w:val="24"/>
          <w:szCs w:val="24"/>
        </w:rPr>
        <w:t>Zásady uplatňované v oblasti interního auditu jsou popsány v interní</w:t>
      </w:r>
      <w:r w:rsidR="00FC0E6F" w:rsidRPr="003542CB">
        <w:rPr>
          <w:rFonts w:cstheme="minorHAnsi"/>
          <w:sz w:val="24"/>
          <w:szCs w:val="24"/>
        </w:rPr>
        <w:t>ch</w:t>
      </w:r>
      <w:r w:rsidRPr="003542CB">
        <w:rPr>
          <w:rFonts w:cstheme="minorHAnsi"/>
          <w:sz w:val="24"/>
          <w:szCs w:val="24"/>
        </w:rPr>
        <w:t xml:space="preserve"> předpisech Manuál interního auditu a </w:t>
      </w:r>
      <w:r w:rsidR="00DF581B" w:rsidRPr="003542CB">
        <w:rPr>
          <w:rFonts w:cstheme="minorHAnsi"/>
          <w:sz w:val="24"/>
          <w:szCs w:val="24"/>
        </w:rPr>
        <w:t>Statut interního auditu, které byly schváleny jak vedením Pojišťovny, tak Výborem pro audit.</w:t>
      </w:r>
      <w:r w:rsidR="000F636F" w:rsidRPr="003542CB">
        <w:rPr>
          <w:rFonts w:cstheme="minorHAnsi"/>
          <w:sz w:val="24"/>
          <w:szCs w:val="24"/>
        </w:rPr>
        <w:t xml:space="preserve"> Mezi hlavní zásady, kterými se interní audit řídí</w:t>
      </w:r>
      <w:r w:rsidR="00D84197" w:rsidRPr="003542CB">
        <w:rPr>
          <w:rFonts w:cstheme="minorHAnsi"/>
          <w:sz w:val="24"/>
          <w:szCs w:val="24"/>
        </w:rPr>
        <w:t>,</w:t>
      </w:r>
      <w:r w:rsidR="000F636F" w:rsidRPr="003542CB">
        <w:rPr>
          <w:rFonts w:cstheme="minorHAnsi"/>
          <w:sz w:val="24"/>
          <w:szCs w:val="24"/>
        </w:rPr>
        <w:t xml:space="preserve"> jsou objektivita, důvěrnost a kompetentnost.</w:t>
      </w:r>
    </w:p>
    <w:p w14:paraId="604F84BF" w14:textId="0AB3652D" w:rsidR="00D6535B" w:rsidRPr="003542CB" w:rsidRDefault="00A65320" w:rsidP="00E3584D">
      <w:pPr>
        <w:spacing w:line="280" w:lineRule="atLeast"/>
        <w:jc w:val="both"/>
        <w:rPr>
          <w:rFonts w:cstheme="minorHAnsi"/>
          <w:color w:val="000000" w:themeColor="text1"/>
          <w:sz w:val="24"/>
        </w:rPr>
      </w:pPr>
      <w:r w:rsidRPr="003542CB">
        <w:rPr>
          <w:rFonts w:cstheme="minorHAnsi"/>
          <w:color w:val="000000" w:themeColor="text1"/>
          <w:sz w:val="24"/>
        </w:rPr>
        <w:t xml:space="preserve">V průběhu roku </w:t>
      </w:r>
      <w:r w:rsidR="00D84197" w:rsidRPr="003542CB">
        <w:rPr>
          <w:rFonts w:cstheme="minorHAnsi"/>
          <w:color w:val="000000" w:themeColor="text1"/>
          <w:sz w:val="24"/>
        </w:rPr>
        <w:t xml:space="preserve">2020 </w:t>
      </w:r>
      <w:r w:rsidRPr="003542CB">
        <w:rPr>
          <w:rFonts w:cstheme="minorHAnsi"/>
          <w:color w:val="000000" w:themeColor="text1"/>
          <w:sz w:val="24"/>
        </w:rPr>
        <w:t>byly provedeny tři hlavní auditní zakázky:</w:t>
      </w:r>
    </w:p>
    <w:p w14:paraId="65A485CD" w14:textId="77777777" w:rsidR="00D6535B" w:rsidRPr="003542CB" w:rsidRDefault="00D6535B" w:rsidP="00E3584D">
      <w:pPr>
        <w:pStyle w:val="Odstavecseseznamem"/>
        <w:numPr>
          <w:ilvl w:val="0"/>
          <w:numId w:val="15"/>
        </w:numPr>
        <w:spacing w:line="280" w:lineRule="atLeast"/>
        <w:jc w:val="both"/>
        <w:rPr>
          <w:rFonts w:cstheme="minorHAnsi"/>
          <w:color w:val="000000" w:themeColor="text1"/>
          <w:sz w:val="24"/>
        </w:rPr>
      </w:pPr>
      <w:r w:rsidRPr="003542CB">
        <w:rPr>
          <w:rFonts w:cstheme="minorHAnsi"/>
          <w:color w:val="000000" w:themeColor="text1"/>
          <w:sz w:val="24"/>
        </w:rPr>
        <w:t xml:space="preserve">Audit </w:t>
      </w:r>
      <w:r w:rsidR="003A4850" w:rsidRPr="003542CB">
        <w:rPr>
          <w:rFonts w:cstheme="minorHAnsi"/>
          <w:color w:val="000000" w:themeColor="text1"/>
          <w:sz w:val="24"/>
        </w:rPr>
        <w:t>zpracování a likvidace pojistných událostí</w:t>
      </w:r>
    </w:p>
    <w:p w14:paraId="73ADF152" w14:textId="77777777" w:rsidR="00D6535B" w:rsidRPr="003542CB" w:rsidRDefault="00D6535B" w:rsidP="00E3584D">
      <w:pPr>
        <w:pStyle w:val="Odstavecseseznamem"/>
        <w:numPr>
          <w:ilvl w:val="0"/>
          <w:numId w:val="15"/>
        </w:numPr>
        <w:spacing w:line="280" w:lineRule="atLeast"/>
        <w:jc w:val="both"/>
        <w:rPr>
          <w:rFonts w:cstheme="minorHAnsi"/>
          <w:color w:val="000000" w:themeColor="text1"/>
          <w:sz w:val="24"/>
        </w:rPr>
      </w:pPr>
      <w:r w:rsidRPr="003542CB">
        <w:rPr>
          <w:rFonts w:cstheme="minorHAnsi"/>
          <w:color w:val="000000" w:themeColor="text1"/>
          <w:sz w:val="24"/>
        </w:rPr>
        <w:t xml:space="preserve">Audit </w:t>
      </w:r>
      <w:r w:rsidR="003A4850" w:rsidRPr="003542CB">
        <w:rPr>
          <w:rFonts w:cstheme="minorHAnsi"/>
          <w:color w:val="000000" w:themeColor="text1"/>
          <w:sz w:val="24"/>
        </w:rPr>
        <w:t>řídícího a kontrolního systému</w:t>
      </w:r>
    </w:p>
    <w:p w14:paraId="404D7051" w14:textId="165C9654" w:rsidR="00127946" w:rsidRPr="009835E2" w:rsidRDefault="00D6535B" w:rsidP="009835E2">
      <w:pPr>
        <w:pStyle w:val="Odstavecseseznamem"/>
        <w:numPr>
          <w:ilvl w:val="0"/>
          <w:numId w:val="15"/>
        </w:numPr>
        <w:spacing w:line="280" w:lineRule="atLeast"/>
        <w:jc w:val="both"/>
        <w:rPr>
          <w:rFonts w:cstheme="minorHAnsi"/>
          <w:color w:val="000000" w:themeColor="text1"/>
          <w:sz w:val="24"/>
        </w:rPr>
      </w:pPr>
      <w:r w:rsidRPr="003542CB">
        <w:rPr>
          <w:rFonts w:cstheme="minorHAnsi"/>
          <w:color w:val="000000" w:themeColor="text1"/>
          <w:sz w:val="24"/>
        </w:rPr>
        <w:t xml:space="preserve">Audit </w:t>
      </w:r>
      <w:r w:rsidR="003A4850" w:rsidRPr="003542CB">
        <w:rPr>
          <w:rFonts w:cstheme="minorHAnsi"/>
          <w:color w:val="000000" w:themeColor="text1"/>
          <w:sz w:val="24"/>
        </w:rPr>
        <w:t>aktualizace interní předpisové základny.</w:t>
      </w:r>
    </w:p>
    <w:p w14:paraId="75DAA206" w14:textId="73E4467C" w:rsidR="001404A1" w:rsidRPr="003542CB" w:rsidRDefault="00CF4115" w:rsidP="009835E2">
      <w:pPr>
        <w:spacing w:line="280" w:lineRule="atLeast"/>
        <w:jc w:val="both"/>
        <w:rPr>
          <w:rFonts w:cstheme="minorHAnsi"/>
          <w:color w:val="000000" w:themeColor="text1"/>
          <w:sz w:val="24"/>
        </w:rPr>
      </w:pPr>
      <w:proofErr w:type="spellStart"/>
      <w:r w:rsidRPr="003542CB">
        <w:rPr>
          <w:rFonts w:cstheme="minorHAnsi"/>
          <w:color w:val="000000" w:themeColor="text1"/>
          <w:sz w:val="24"/>
        </w:rPr>
        <w:t>Pojistněmatematická</w:t>
      </w:r>
      <w:proofErr w:type="spellEnd"/>
      <w:r w:rsidRPr="003542CB">
        <w:rPr>
          <w:rFonts w:cstheme="minorHAnsi"/>
          <w:color w:val="000000" w:themeColor="text1"/>
          <w:sz w:val="24"/>
        </w:rPr>
        <w:t xml:space="preserve"> funkce je outsourcována, externím pojistným m</w:t>
      </w:r>
      <w:r w:rsidR="00CB490B" w:rsidRPr="003542CB">
        <w:rPr>
          <w:rFonts w:cstheme="minorHAnsi"/>
          <w:color w:val="000000" w:themeColor="text1"/>
          <w:sz w:val="24"/>
        </w:rPr>
        <w:t>atematikem je Mgr. Jan Hor</w:t>
      </w:r>
      <w:r w:rsidR="00B122A2" w:rsidRPr="003542CB">
        <w:rPr>
          <w:rFonts w:cstheme="minorHAnsi"/>
          <w:color w:val="000000" w:themeColor="text1"/>
          <w:sz w:val="24"/>
        </w:rPr>
        <w:t>a</w:t>
      </w:r>
      <w:r w:rsidR="00A35046" w:rsidRPr="003542CB">
        <w:rPr>
          <w:rFonts w:cstheme="minorHAnsi"/>
          <w:color w:val="000000" w:themeColor="text1"/>
          <w:sz w:val="24"/>
        </w:rPr>
        <w:t xml:space="preserve">, se kterým Pojišťovna spolupracuje již od </w:t>
      </w:r>
      <w:r w:rsidR="00414181" w:rsidRPr="003542CB">
        <w:rPr>
          <w:rFonts w:cstheme="minorHAnsi"/>
          <w:color w:val="000000" w:themeColor="text1"/>
          <w:sz w:val="24"/>
        </w:rPr>
        <w:t>svého založení od roku 2003</w:t>
      </w:r>
      <w:r w:rsidR="00CB490B" w:rsidRPr="003542CB">
        <w:rPr>
          <w:rFonts w:cstheme="minorHAnsi"/>
          <w:color w:val="000000" w:themeColor="text1"/>
          <w:sz w:val="24"/>
        </w:rPr>
        <w:t>.</w:t>
      </w:r>
      <w:r w:rsidR="00D6535B" w:rsidRPr="003542CB">
        <w:rPr>
          <w:rFonts w:cstheme="minorHAnsi"/>
          <w:color w:val="000000" w:themeColor="text1"/>
          <w:sz w:val="24"/>
        </w:rPr>
        <w:t xml:space="preserve"> Základním úkolem </w:t>
      </w:r>
      <w:proofErr w:type="spellStart"/>
      <w:r w:rsidR="00D6535B" w:rsidRPr="003542CB">
        <w:rPr>
          <w:rFonts w:cstheme="minorHAnsi"/>
          <w:color w:val="000000" w:themeColor="text1"/>
          <w:sz w:val="24"/>
        </w:rPr>
        <w:t>pojistněmatematické</w:t>
      </w:r>
      <w:proofErr w:type="spellEnd"/>
      <w:r w:rsidR="00D6535B" w:rsidRPr="003542CB">
        <w:rPr>
          <w:rFonts w:cstheme="minorHAnsi"/>
          <w:color w:val="000000" w:themeColor="text1"/>
          <w:sz w:val="24"/>
        </w:rPr>
        <w:t xml:space="preserve"> funkce je stanovení technických rezerv, které jsou počítány čtvrtletně. Zároveň kvantifikuje </w:t>
      </w:r>
      <w:proofErr w:type="spellStart"/>
      <w:r w:rsidR="00D6535B" w:rsidRPr="003542CB">
        <w:rPr>
          <w:rFonts w:cstheme="minorHAnsi"/>
          <w:color w:val="000000" w:themeColor="text1"/>
          <w:sz w:val="24"/>
        </w:rPr>
        <w:t>solventnostní</w:t>
      </w:r>
      <w:proofErr w:type="spellEnd"/>
      <w:r w:rsidR="00D6535B" w:rsidRPr="003542CB">
        <w:rPr>
          <w:rFonts w:cstheme="minorHAnsi"/>
          <w:color w:val="000000" w:themeColor="text1"/>
          <w:sz w:val="24"/>
        </w:rPr>
        <w:t xml:space="preserve"> kapitálový požadavek podle pravidel </w:t>
      </w:r>
      <w:proofErr w:type="spellStart"/>
      <w:r w:rsidR="00D6535B" w:rsidRPr="003542CB">
        <w:rPr>
          <w:rFonts w:cstheme="minorHAnsi"/>
          <w:color w:val="000000" w:themeColor="text1"/>
          <w:sz w:val="24"/>
        </w:rPr>
        <w:t>Solvency</w:t>
      </w:r>
      <w:proofErr w:type="spellEnd"/>
      <w:r w:rsidR="00D6535B" w:rsidRPr="003542CB">
        <w:rPr>
          <w:rFonts w:cstheme="minorHAnsi"/>
          <w:color w:val="000000" w:themeColor="text1"/>
          <w:sz w:val="24"/>
        </w:rPr>
        <w:t xml:space="preserve"> II</w:t>
      </w:r>
      <w:r w:rsidR="003A4850" w:rsidRPr="003542CB">
        <w:rPr>
          <w:rFonts w:cstheme="minorHAnsi"/>
          <w:color w:val="000000" w:themeColor="text1"/>
          <w:sz w:val="24"/>
        </w:rPr>
        <w:t xml:space="preserve"> a podílí se na vývoji nových připojištění.</w:t>
      </w:r>
      <w:r w:rsidR="00A35046" w:rsidRPr="003542CB">
        <w:rPr>
          <w:rFonts w:cstheme="minorHAnsi"/>
          <w:color w:val="000000" w:themeColor="text1"/>
          <w:sz w:val="24"/>
        </w:rPr>
        <w:t xml:space="preserve"> Jeho vyjádření jsou vyžadována při každé modifikaci stávajících pojistných produktů.</w:t>
      </w:r>
      <w:r w:rsidR="003A4850" w:rsidRPr="003542CB">
        <w:rPr>
          <w:rFonts w:cstheme="minorHAnsi"/>
          <w:color w:val="000000" w:themeColor="text1"/>
          <w:sz w:val="24"/>
        </w:rPr>
        <w:t xml:space="preserve"> </w:t>
      </w:r>
      <w:r w:rsidR="00286269" w:rsidRPr="003542CB">
        <w:rPr>
          <w:rFonts w:cstheme="minorHAnsi"/>
          <w:color w:val="000000" w:themeColor="text1"/>
          <w:sz w:val="24"/>
        </w:rPr>
        <w:t>P</w:t>
      </w:r>
      <w:r w:rsidR="003A4850" w:rsidRPr="003542CB">
        <w:rPr>
          <w:rFonts w:cstheme="minorHAnsi"/>
          <w:color w:val="000000" w:themeColor="text1"/>
          <w:sz w:val="24"/>
        </w:rPr>
        <w:t xml:space="preserve">rovádí </w:t>
      </w:r>
      <w:r w:rsidR="00286269" w:rsidRPr="003542CB">
        <w:rPr>
          <w:rFonts w:cstheme="minorHAnsi"/>
          <w:color w:val="000000" w:themeColor="text1"/>
          <w:sz w:val="24"/>
        </w:rPr>
        <w:t xml:space="preserve">rovněž </w:t>
      </w:r>
      <w:r w:rsidR="003A4850" w:rsidRPr="003542CB">
        <w:rPr>
          <w:rFonts w:cstheme="minorHAnsi"/>
          <w:color w:val="000000" w:themeColor="text1"/>
          <w:sz w:val="24"/>
        </w:rPr>
        <w:t>minimálně jednou ročně zhodnocení dostatečnosti výše technických rezerv formou run-</w:t>
      </w:r>
      <w:proofErr w:type="spellStart"/>
      <w:r w:rsidR="003A4850" w:rsidRPr="003542CB">
        <w:rPr>
          <w:rFonts w:cstheme="minorHAnsi"/>
          <w:color w:val="000000" w:themeColor="text1"/>
          <w:sz w:val="24"/>
        </w:rPr>
        <w:t>off</w:t>
      </w:r>
      <w:proofErr w:type="spellEnd"/>
      <w:r w:rsidR="003A4850" w:rsidRPr="003542CB">
        <w:rPr>
          <w:rFonts w:cstheme="minorHAnsi"/>
          <w:color w:val="000000" w:themeColor="text1"/>
          <w:sz w:val="24"/>
        </w:rPr>
        <w:t xml:space="preserve"> analýzy</w:t>
      </w:r>
      <w:r w:rsidR="00A35046" w:rsidRPr="003542CB">
        <w:rPr>
          <w:rFonts w:cstheme="minorHAnsi"/>
          <w:color w:val="000000" w:themeColor="text1"/>
          <w:sz w:val="24"/>
        </w:rPr>
        <w:t xml:space="preserve"> a hodnocení dostatečnosti rezerv. </w:t>
      </w:r>
    </w:p>
    <w:p w14:paraId="69D45EFD" w14:textId="77777777" w:rsidR="00BB0E50" w:rsidRPr="003542CB" w:rsidRDefault="00BB0E50" w:rsidP="004B21E8">
      <w:pPr>
        <w:spacing w:line="280" w:lineRule="atLeast"/>
        <w:jc w:val="both"/>
        <w:rPr>
          <w:rFonts w:cstheme="minorHAnsi"/>
          <w:color w:val="000000" w:themeColor="text1"/>
          <w:sz w:val="24"/>
        </w:rPr>
      </w:pPr>
    </w:p>
    <w:p w14:paraId="4CEBBFAA" w14:textId="1CFE7016" w:rsidR="00467473" w:rsidRPr="003542CB" w:rsidRDefault="0061142A" w:rsidP="009835E2">
      <w:pPr>
        <w:pStyle w:val="Nadpis2"/>
        <w:spacing w:after="120" w:line="280" w:lineRule="atLeast"/>
        <w:rPr>
          <w:rFonts w:asciiTheme="minorHAnsi" w:hAnsiTheme="minorHAnsi" w:cstheme="minorHAnsi"/>
          <w:b/>
          <w:color w:val="000000" w:themeColor="text1"/>
        </w:rPr>
      </w:pPr>
      <w:bookmarkStart w:id="22" w:name="_Toc75366891"/>
      <w:r w:rsidRPr="003542CB">
        <w:rPr>
          <w:rFonts w:asciiTheme="minorHAnsi" w:hAnsiTheme="minorHAnsi" w:cstheme="minorHAnsi"/>
          <w:b/>
          <w:color w:val="000000" w:themeColor="text1"/>
        </w:rPr>
        <w:t>4.</w:t>
      </w:r>
      <w:r w:rsidR="006721C6" w:rsidRPr="003542CB">
        <w:rPr>
          <w:rFonts w:asciiTheme="minorHAnsi" w:hAnsiTheme="minorHAnsi" w:cstheme="minorHAnsi"/>
          <w:b/>
          <w:color w:val="000000" w:themeColor="text1"/>
        </w:rPr>
        <w:t>4</w:t>
      </w:r>
      <w:r w:rsidR="00467473" w:rsidRPr="003542CB">
        <w:rPr>
          <w:rFonts w:asciiTheme="minorHAnsi" w:hAnsiTheme="minorHAnsi" w:cstheme="minorHAnsi"/>
          <w:b/>
          <w:color w:val="000000" w:themeColor="text1"/>
        </w:rPr>
        <w:t xml:space="preserve">. </w:t>
      </w:r>
      <w:r w:rsidR="003B703F" w:rsidRPr="003542CB">
        <w:rPr>
          <w:rFonts w:asciiTheme="minorHAnsi" w:hAnsiTheme="minorHAnsi" w:cstheme="minorHAnsi"/>
          <w:b/>
          <w:color w:val="000000" w:themeColor="text1"/>
        </w:rPr>
        <w:t>Odměňování v</w:t>
      </w:r>
      <w:r w:rsidR="00DD3C13" w:rsidRPr="003542CB">
        <w:rPr>
          <w:rFonts w:asciiTheme="minorHAnsi" w:hAnsiTheme="minorHAnsi" w:cstheme="minorHAnsi"/>
          <w:b/>
          <w:color w:val="000000" w:themeColor="text1"/>
        </w:rPr>
        <w:t> </w:t>
      </w:r>
      <w:r w:rsidR="003B703F" w:rsidRPr="003542CB">
        <w:rPr>
          <w:rFonts w:asciiTheme="minorHAnsi" w:hAnsiTheme="minorHAnsi" w:cstheme="minorHAnsi"/>
          <w:b/>
          <w:color w:val="000000" w:themeColor="text1"/>
        </w:rPr>
        <w:t>Pojišťovně</w:t>
      </w:r>
      <w:bookmarkEnd w:id="22"/>
    </w:p>
    <w:p w14:paraId="1BD3EDDE" w14:textId="1C8C525F" w:rsidR="00080A3F" w:rsidRPr="003542CB" w:rsidRDefault="00750951" w:rsidP="00E3584D">
      <w:pPr>
        <w:spacing w:line="280" w:lineRule="atLeast"/>
        <w:jc w:val="both"/>
        <w:rPr>
          <w:rFonts w:cstheme="minorHAnsi"/>
          <w:color w:val="000000" w:themeColor="text1"/>
          <w:sz w:val="24"/>
        </w:rPr>
      </w:pPr>
      <w:r w:rsidRPr="003542CB">
        <w:rPr>
          <w:rFonts w:cstheme="minorHAnsi"/>
          <w:color w:val="000000" w:themeColor="text1"/>
          <w:sz w:val="24"/>
        </w:rPr>
        <w:t xml:space="preserve">Odměňování se v </w:t>
      </w:r>
      <w:r w:rsidR="001739CC" w:rsidRPr="003542CB">
        <w:rPr>
          <w:rFonts w:cstheme="minorHAnsi"/>
          <w:color w:val="000000" w:themeColor="text1"/>
          <w:sz w:val="24"/>
          <w:szCs w:val="24"/>
        </w:rPr>
        <w:t>Pojišťovně</w:t>
      </w:r>
      <w:r w:rsidRPr="003542CB">
        <w:rPr>
          <w:rFonts w:cstheme="minorHAnsi"/>
          <w:color w:val="000000" w:themeColor="text1"/>
          <w:sz w:val="24"/>
        </w:rPr>
        <w:t xml:space="preserve"> řídí Odborným pokynem č. </w:t>
      </w:r>
      <w:r w:rsidR="00620121" w:rsidRPr="003542CB">
        <w:rPr>
          <w:rFonts w:cstheme="minorHAnsi"/>
          <w:color w:val="000000" w:themeColor="text1"/>
          <w:sz w:val="24"/>
        </w:rPr>
        <w:t>26</w:t>
      </w:r>
      <w:r w:rsidR="005566B6" w:rsidRPr="003542CB">
        <w:rPr>
          <w:rFonts w:cstheme="minorHAnsi"/>
          <w:color w:val="000000" w:themeColor="text1"/>
          <w:sz w:val="24"/>
        </w:rPr>
        <w:t xml:space="preserve"> -</w:t>
      </w:r>
      <w:r w:rsidRPr="003542CB">
        <w:rPr>
          <w:rFonts w:cstheme="minorHAnsi"/>
          <w:color w:val="000000" w:themeColor="text1"/>
          <w:sz w:val="24"/>
        </w:rPr>
        <w:t xml:space="preserve"> Koncepce odměňování.</w:t>
      </w:r>
      <w:r w:rsidR="00CB136C" w:rsidRPr="003542CB">
        <w:rPr>
          <w:rFonts w:cstheme="minorHAnsi"/>
          <w:color w:val="000000" w:themeColor="text1"/>
          <w:sz w:val="24"/>
        </w:rPr>
        <w:t xml:space="preserve"> Politika odměňování musí být nastavena tak, aby byla v souladu s cíli Pojišťovny, podporovala její strategii, byla v souladu s mechanismy </w:t>
      </w:r>
      <w:r w:rsidR="0035073C" w:rsidRPr="003542CB">
        <w:rPr>
          <w:rFonts w:cstheme="minorHAnsi"/>
          <w:color w:val="000000" w:themeColor="text1"/>
          <w:sz w:val="24"/>
        </w:rPr>
        <w:t>řízení</w:t>
      </w:r>
      <w:r w:rsidR="00CB136C" w:rsidRPr="003542CB">
        <w:rPr>
          <w:rFonts w:cstheme="minorHAnsi"/>
          <w:color w:val="000000" w:themeColor="text1"/>
          <w:sz w:val="24"/>
        </w:rPr>
        <w:t xml:space="preserve"> rizik a dlouhodobými zájmy Pojišťovny a motivovala zaměstnance k dosahování vytyčených cílů. </w:t>
      </w:r>
    </w:p>
    <w:p w14:paraId="2C5918FE" w14:textId="0D46CE09" w:rsidR="00DD3C13" w:rsidRPr="003542CB" w:rsidRDefault="00ED5AD2" w:rsidP="00E3584D">
      <w:pPr>
        <w:spacing w:line="280" w:lineRule="atLeast"/>
        <w:jc w:val="both"/>
        <w:rPr>
          <w:rFonts w:cstheme="minorHAnsi"/>
          <w:color w:val="000000" w:themeColor="text1"/>
          <w:sz w:val="24"/>
        </w:rPr>
      </w:pPr>
      <w:r w:rsidRPr="003542CB">
        <w:rPr>
          <w:rFonts w:cstheme="minorHAnsi"/>
          <w:color w:val="000000" w:themeColor="text1"/>
          <w:sz w:val="24"/>
        </w:rPr>
        <w:t>U řadových zaměstnanců jsou odměny stanoveny smluvně, především dle náročnosti a odpovědnosti na dané pozici. Pohyblivá složka mzdy</w:t>
      </w:r>
      <w:r w:rsidR="000B3ED3" w:rsidRPr="003542CB">
        <w:rPr>
          <w:rFonts w:cstheme="minorHAnsi"/>
          <w:color w:val="000000" w:themeColor="text1"/>
          <w:sz w:val="24"/>
        </w:rPr>
        <w:t xml:space="preserve"> </w:t>
      </w:r>
      <w:r w:rsidR="0035073C" w:rsidRPr="003542CB">
        <w:rPr>
          <w:rFonts w:cstheme="minorHAnsi"/>
          <w:color w:val="000000" w:themeColor="text1"/>
          <w:sz w:val="24"/>
        </w:rPr>
        <w:t xml:space="preserve">je tvořena především </w:t>
      </w:r>
      <w:r w:rsidR="000B3ED3" w:rsidRPr="003542CB">
        <w:rPr>
          <w:rFonts w:cstheme="minorHAnsi"/>
          <w:color w:val="000000" w:themeColor="text1"/>
          <w:sz w:val="24"/>
        </w:rPr>
        <w:t>mimořádnými odměnami</w:t>
      </w:r>
      <w:r w:rsidR="00A94495" w:rsidRPr="003542CB">
        <w:rPr>
          <w:rFonts w:cstheme="minorHAnsi"/>
          <w:color w:val="000000" w:themeColor="text1"/>
          <w:sz w:val="24"/>
        </w:rPr>
        <w:t>.</w:t>
      </w:r>
      <w:r w:rsidR="0035073C" w:rsidRPr="003542CB">
        <w:rPr>
          <w:rFonts w:cstheme="minorHAnsi"/>
          <w:color w:val="000000" w:themeColor="text1"/>
          <w:sz w:val="24"/>
        </w:rPr>
        <w:t xml:space="preserve"> </w:t>
      </w:r>
      <w:r w:rsidR="00004000" w:rsidRPr="003542CB">
        <w:rPr>
          <w:rFonts w:cstheme="minorHAnsi"/>
          <w:color w:val="000000" w:themeColor="text1"/>
          <w:sz w:val="24"/>
        </w:rPr>
        <w:t xml:space="preserve">Pozice </w:t>
      </w:r>
      <w:r w:rsidR="0035073C" w:rsidRPr="003542CB">
        <w:rPr>
          <w:rFonts w:cstheme="minorHAnsi"/>
          <w:color w:val="000000" w:themeColor="text1"/>
          <w:sz w:val="24"/>
        </w:rPr>
        <w:t xml:space="preserve">vedoucího </w:t>
      </w:r>
      <w:r w:rsidR="00004000" w:rsidRPr="003542CB">
        <w:rPr>
          <w:rFonts w:cstheme="minorHAnsi"/>
          <w:color w:val="000000" w:themeColor="text1"/>
          <w:sz w:val="24"/>
        </w:rPr>
        <w:t xml:space="preserve">jednotlivých </w:t>
      </w:r>
      <w:r w:rsidR="0035073C" w:rsidRPr="003542CB">
        <w:rPr>
          <w:rFonts w:cstheme="minorHAnsi"/>
          <w:color w:val="000000" w:themeColor="text1"/>
          <w:sz w:val="24"/>
        </w:rPr>
        <w:t>tým</w:t>
      </w:r>
      <w:r w:rsidR="00004000" w:rsidRPr="003542CB">
        <w:rPr>
          <w:rFonts w:cstheme="minorHAnsi"/>
          <w:color w:val="000000" w:themeColor="text1"/>
          <w:sz w:val="24"/>
        </w:rPr>
        <w:t>ů</w:t>
      </w:r>
      <w:r w:rsidR="0035073C" w:rsidRPr="003542CB">
        <w:rPr>
          <w:rFonts w:cstheme="minorHAnsi"/>
          <w:color w:val="000000" w:themeColor="text1"/>
          <w:sz w:val="24"/>
        </w:rPr>
        <w:t xml:space="preserve"> má rovněž jako složku platu osobní ohodnocení na základě hodnocení výkonnosti nadřízeným.</w:t>
      </w:r>
      <w:r w:rsidR="00A94495" w:rsidRPr="003542CB">
        <w:rPr>
          <w:rFonts w:cstheme="minorHAnsi"/>
          <w:color w:val="000000" w:themeColor="text1"/>
          <w:sz w:val="24"/>
        </w:rPr>
        <w:t xml:space="preserve"> Tento postup zajišťuje, aby výše jejich odměny nepodporovala nadměrné podstupování </w:t>
      </w:r>
      <w:r w:rsidR="00CB490B" w:rsidRPr="003542CB">
        <w:rPr>
          <w:rFonts w:cstheme="minorHAnsi"/>
          <w:color w:val="000000" w:themeColor="text1"/>
          <w:sz w:val="24"/>
        </w:rPr>
        <w:t xml:space="preserve">rizik.   </w:t>
      </w:r>
    </w:p>
    <w:p w14:paraId="71209CB7" w14:textId="77777777" w:rsidR="00750951" w:rsidRPr="003542CB" w:rsidRDefault="00750951" w:rsidP="008C0A59">
      <w:pPr>
        <w:spacing w:after="120" w:line="280" w:lineRule="atLeast"/>
        <w:jc w:val="both"/>
        <w:rPr>
          <w:rFonts w:cstheme="minorHAnsi"/>
          <w:color w:val="000000" w:themeColor="text1"/>
          <w:sz w:val="24"/>
        </w:rPr>
      </w:pPr>
      <w:r w:rsidRPr="003542CB">
        <w:rPr>
          <w:rFonts w:cstheme="minorHAnsi"/>
          <w:color w:val="000000" w:themeColor="text1"/>
          <w:sz w:val="24"/>
        </w:rPr>
        <w:t xml:space="preserve">Skupiny mzdových zařazení v podmínkách Pojišťovny jsou popsány níže: </w:t>
      </w:r>
    </w:p>
    <w:p w14:paraId="0B290D86" w14:textId="77777777" w:rsidR="00750951" w:rsidRPr="003542CB" w:rsidRDefault="00750951" w:rsidP="008C0A59">
      <w:pPr>
        <w:spacing w:after="120" w:line="280" w:lineRule="atLeast"/>
        <w:jc w:val="both"/>
        <w:rPr>
          <w:rFonts w:cstheme="minorHAnsi"/>
          <w:color w:val="000000" w:themeColor="text1"/>
          <w:sz w:val="24"/>
        </w:rPr>
      </w:pPr>
      <w:r w:rsidRPr="003542CB">
        <w:rPr>
          <w:rFonts w:cstheme="minorHAnsi"/>
          <w:color w:val="000000" w:themeColor="text1"/>
          <w:sz w:val="24"/>
        </w:rPr>
        <w:t>a)</w:t>
      </w:r>
      <w:r w:rsidRPr="003542CB">
        <w:rPr>
          <w:rFonts w:cstheme="minorHAnsi"/>
          <w:color w:val="000000" w:themeColor="text1"/>
          <w:sz w:val="24"/>
        </w:rPr>
        <w:tab/>
        <w:t>referenti, kteří zajišťují standardní pracovní postupy a činnosti Pojišťovny</w:t>
      </w:r>
    </w:p>
    <w:p w14:paraId="40F876AA" w14:textId="77777777" w:rsidR="00750951" w:rsidRPr="003542CB" w:rsidRDefault="00750951" w:rsidP="008C0A59">
      <w:pPr>
        <w:spacing w:after="120" w:line="280" w:lineRule="atLeast"/>
        <w:ind w:left="709" w:hanging="709"/>
        <w:jc w:val="both"/>
        <w:rPr>
          <w:rFonts w:cstheme="minorHAnsi"/>
          <w:color w:val="000000" w:themeColor="text1"/>
          <w:sz w:val="24"/>
        </w:rPr>
      </w:pPr>
      <w:r w:rsidRPr="003542CB">
        <w:rPr>
          <w:rFonts w:cstheme="minorHAnsi"/>
          <w:color w:val="000000" w:themeColor="text1"/>
          <w:sz w:val="24"/>
        </w:rPr>
        <w:t>b)</w:t>
      </w:r>
      <w:r w:rsidRPr="003542CB">
        <w:rPr>
          <w:rFonts w:cstheme="minorHAnsi"/>
          <w:color w:val="000000" w:themeColor="text1"/>
          <w:sz w:val="24"/>
        </w:rPr>
        <w:tab/>
        <w:t>vedoucí zaměstnanci jsou vedoucí týmů Pojišťovny, a to vedoucí týmu zpracování a správy pojistných smluv</w:t>
      </w:r>
      <w:r w:rsidR="00A94495" w:rsidRPr="003542CB">
        <w:rPr>
          <w:rFonts w:cstheme="minorHAnsi"/>
          <w:color w:val="000000" w:themeColor="text1"/>
          <w:sz w:val="24"/>
        </w:rPr>
        <w:t>, vedoucí týmu péče o produkty a podpory prodeje</w:t>
      </w:r>
      <w:r w:rsidRPr="003542CB">
        <w:rPr>
          <w:rFonts w:cstheme="minorHAnsi"/>
          <w:color w:val="000000" w:themeColor="text1"/>
          <w:sz w:val="24"/>
        </w:rPr>
        <w:t xml:space="preserve"> a vedoucí provozního týmu</w:t>
      </w:r>
    </w:p>
    <w:p w14:paraId="16ED3F50" w14:textId="77777777" w:rsidR="00750951" w:rsidRPr="003542CB" w:rsidRDefault="00750951" w:rsidP="00E3584D">
      <w:pPr>
        <w:spacing w:line="280" w:lineRule="atLeast"/>
        <w:ind w:left="709" w:hanging="709"/>
        <w:jc w:val="both"/>
        <w:rPr>
          <w:rFonts w:cstheme="minorHAnsi"/>
          <w:color w:val="000000" w:themeColor="text1"/>
          <w:sz w:val="24"/>
        </w:rPr>
      </w:pPr>
      <w:r w:rsidRPr="003542CB">
        <w:rPr>
          <w:rFonts w:cstheme="minorHAnsi"/>
          <w:color w:val="000000" w:themeColor="text1"/>
          <w:sz w:val="24"/>
        </w:rPr>
        <w:t>c)</w:t>
      </w:r>
      <w:r w:rsidRPr="003542CB">
        <w:rPr>
          <w:rFonts w:cstheme="minorHAnsi"/>
          <w:color w:val="000000" w:themeColor="text1"/>
          <w:sz w:val="24"/>
        </w:rPr>
        <w:tab/>
        <w:t xml:space="preserve">management Pojišťovny tvoří generální </w:t>
      </w:r>
      <w:r w:rsidR="00004000" w:rsidRPr="003542CB">
        <w:rPr>
          <w:rFonts w:cstheme="minorHAnsi"/>
          <w:color w:val="000000" w:themeColor="text1"/>
          <w:sz w:val="24"/>
        </w:rPr>
        <w:t>a výkonný ředitel</w:t>
      </w:r>
      <w:r w:rsidRPr="003542CB">
        <w:rPr>
          <w:rFonts w:cstheme="minorHAnsi"/>
          <w:color w:val="000000" w:themeColor="text1"/>
          <w:sz w:val="24"/>
        </w:rPr>
        <w:t>.</w:t>
      </w:r>
    </w:p>
    <w:p w14:paraId="462B24FE" w14:textId="77777777" w:rsidR="007C7387" w:rsidRPr="003542CB" w:rsidRDefault="007C7387" w:rsidP="009835E2">
      <w:pPr>
        <w:spacing w:line="280" w:lineRule="atLeast"/>
        <w:jc w:val="both"/>
        <w:rPr>
          <w:rFonts w:cstheme="minorHAnsi"/>
          <w:color w:val="000000" w:themeColor="text1"/>
          <w:sz w:val="24"/>
        </w:rPr>
      </w:pPr>
      <w:r w:rsidRPr="003542CB">
        <w:rPr>
          <w:rFonts w:cstheme="minorHAnsi"/>
          <w:color w:val="000000" w:themeColor="text1"/>
          <w:sz w:val="24"/>
        </w:rPr>
        <w:lastRenderedPageBreak/>
        <w:t xml:space="preserve">Pro členy statutárních orgánů </w:t>
      </w:r>
      <w:r w:rsidR="00CA331A" w:rsidRPr="003542CB">
        <w:rPr>
          <w:rFonts w:cstheme="minorHAnsi"/>
          <w:color w:val="000000" w:themeColor="text1"/>
          <w:sz w:val="24"/>
        </w:rPr>
        <w:t xml:space="preserve">(představenstvo a dozorčí rada) </w:t>
      </w:r>
      <w:r w:rsidRPr="003542CB">
        <w:rPr>
          <w:rFonts w:cstheme="minorHAnsi"/>
          <w:color w:val="000000" w:themeColor="text1"/>
          <w:sz w:val="24"/>
        </w:rPr>
        <w:t xml:space="preserve">je smluvně stanovená výše odměny, schválená jediným akcionářem. </w:t>
      </w:r>
      <w:r w:rsidR="00CA331A" w:rsidRPr="003542CB">
        <w:rPr>
          <w:rFonts w:cstheme="minorHAnsi"/>
          <w:color w:val="000000" w:themeColor="text1"/>
          <w:sz w:val="24"/>
        </w:rPr>
        <w:t xml:space="preserve">Výše odměny </w:t>
      </w:r>
      <w:r w:rsidR="00004000" w:rsidRPr="003542CB">
        <w:rPr>
          <w:rFonts w:cstheme="minorHAnsi"/>
          <w:color w:val="000000" w:themeColor="text1"/>
          <w:sz w:val="24"/>
        </w:rPr>
        <w:t>není</w:t>
      </w:r>
      <w:r w:rsidR="00CA331A" w:rsidRPr="003542CB">
        <w:rPr>
          <w:rFonts w:cstheme="minorHAnsi"/>
          <w:color w:val="000000" w:themeColor="text1"/>
          <w:sz w:val="24"/>
        </w:rPr>
        <w:t xml:space="preserve"> navázána na hospodářský výsledek a splnění stanoveného plánu hospodaření pro konkrétní rok</w:t>
      </w:r>
      <w:r w:rsidR="005C37A9" w:rsidRPr="003542CB">
        <w:rPr>
          <w:rFonts w:cstheme="minorHAnsi"/>
          <w:color w:val="000000" w:themeColor="text1"/>
          <w:sz w:val="24"/>
        </w:rPr>
        <w:t xml:space="preserve"> a její finální výše je schvalována jediným akcionářem</w:t>
      </w:r>
      <w:r w:rsidR="00CA331A" w:rsidRPr="003542CB">
        <w:rPr>
          <w:rFonts w:cstheme="minorHAnsi"/>
          <w:color w:val="000000" w:themeColor="text1"/>
          <w:sz w:val="24"/>
        </w:rPr>
        <w:t xml:space="preserve">. </w:t>
      </w:r>
      <w:r w:rsidR="00004000" w:rsidRPr="003542CB">
        <w:rPr>
          <w:rFonts w:cstheme="minorHAnsi"/>
          <w:color w:val="000000" w:themeColor="text1"/>
          <w:sz w:val="24"/>
        </w:rPr>
        <w:t>Odměna členům statutárních orgánů je složena z </w:t>
      </w:r>
      <w:r w:rsidR="0024102A" w:rsidRPr="003542CB">
        <w:rPr>
          <w:rFonts w:cstheme="minorHAnsi"/>
          <w:color w:val="000000" w:themeColor="text1"/>
          <w:sz w:val="24"/>
        </w:rPr>
        <w:t>fixní</w:t>
      </w:r>
      <w:r w:rsidR="00004000" w:rsidRPr="003542CB">
        <w:rPr>
          <w:rFonts w:cstheme="minorHAnsi"/>
          <w:color w:val="000000" w:themeColor="text1"/>
          <w:sz w:val="24"/>
        </w:rPr>
        <w:t xml:space="preserve"> částky a dále z ročního bonusu</w:t>
      </w:r>
      <w:r w:rsidR="00F72E88" w:rsidRPr="003542CB">
        <w:rPr>
          <w:rFonts w:cstheme="minorHAnsi"/>
          <w:color w:val="000000" w:themeColor="text1"/>
          <w:sz w:val="24"/>
        </w:rPr>
        <w:t>.</w:t>
      </w:r>
    </w:p>
    <w:p w14:paraId="003710B3" w14:textId="77777777" w:rsidR="005C37A9" w:rsidRPr="003542CB" w:rsidRDefault="005C37A9" w:rsidP="009835E2">
      <w:pPr>
        <w:spacing w:line="280" w:lineRule="atLeast"/>
        <w:jc w:val="both"/>
        <w:rPr>
          <w:rFonts w:cstheme="minorHAnsi"/>
          <w:color w:val="000000" w:themeColor="text1"/>
          <w:sz w:val="24"/>
        </w:rPr>
      </w:pPr>
      <w:r w:rsidRPr="003542CB">
        <w:rPr>
          <w:rFonts w:cstheme="minorHAnsi"/>
          <w:color w:val="000000" w:themeColor="text1"/>
          <w:sz w:val="24"/>
        </w:rPr>
        <w:t>Výbor pro audit je odměňován dle smlouvy pevně stanovenou částkou bez návaznosti na hospodářský výsledek.</w:t>
      </w:r>
    </w:p>
    <w:p w14:paraId="5B885022" w14:textId="5BB12157" w:rsidR="00DF581B" w:rsidRPr="003542CB" w:rsidRDefault="00C70859" w:rsidP="009835E2">
      <w:pPr>
        <w:spacing w:line="280" w:lineRule="atLeast"/>
        <w:jc w:val="both"/>
        <w:rPr>
          <w:rFonts w:cstheme="minorHAnsi"/>
          <w:color w:val="000000" w:themeColor="text1"/>
          <w:sz w:val="24"/>
        </w:rPr>
      </w:pPr>
      <w:r w:rsidRPr="003542CB">
        <w:rPr>
          <w:rFonts w:cstheme="minorHAnsi"/>
          <w:color w:val="000000" w:themeColor="text1"/>
          <w:sz w:val="24"/>
        </w:rPr>
        <w:t>Celá oblast odměňování v Pojišťovně se vyznačuje absencí výkonové složky odměn navázané na oblast upisování a investování, a to jak u zaměstnanců, tak u členů statutárních orgánů. Vzhledem k malému počtu kmenových zaměstnanců se jeví jako vhodnější jejich odměňování na základě osobního ohodnocení, stanoveného na základě objektivních důvodů. U</w:t>
      </w:r>
      <w:r w:rsidR="004331A5" w:rsidRPr="003542CB">
        <w:rPr>
          <w:rFonts w:cstheme="minorHAnsi"/>
          <w:color w:val="000000" w:themeColor="text1"/>
          <w:sz w:val="24"/>
        </w:rPr>
        <w:t> </w:t>
      </w:r>
      <w:r w:rsidRPr="003542CB">
        <w:rPr>
          <w:rFonts w:cstheme="minorHAnsi"/>
          <w:color w:val="000000" w:themeColor="text1"/>
          <w:sz w:val="24"/>
        </w:rPr>
        <w:t>statutárních orgánů je část odměny stanovena pevně a část je určena jediným akcionářem po jeho zhodnocení výsledku hospodaření. Tímto postupem je zaručeno, aby odměňování nepodporovalo nadměrné podstupování rizik</w:t>
      </w:r>
      <w:r w:rsidR="0024102A" w:rsidRPr="003542CB">
        <w:rPr>
          <w:rFonts w:cstheme="minorHAnsi"/>
          <w:color w:val="000000" w:themeColor="text1"/>
          <w:sz w:val="24"/>
        </w:rPr>
        <w:t xml:space="preserve"> motivované odměnou.</w:t>
      </w:r>
    </w:p>
    <w:p w14:paraId="17770F88" w14:textId="77777777" w:rsidR="00A35046" w:rsidRPr="003542CB" w:rsidRDefault="00A35046" w:rsidP="009835E2">
      <w:pPr>
        <w:spacing w:line="280" w:lineRule="atLeast"/>
        <w:jc w:val="both"/>
        <w:rPr>
          <w:rFonts w:cstheme="minorHAnsi"/>
          <w:color w:val="000000" w:themeColor="text1"/>
          <w:sz w:val="24"/>
        </w:rPr>
      </w:pPr>
      <w:r w:rsidRPr="003542CB">
        <w:rPr>
          <w:rFonts w:cstheme="minorHAnsi"/>
          <w:color w:val="000000" w:themeColor="text1"/>
          <w:sz w:val="24"/>
        </w:rPr>
        <w:t xml:space="preserve">Bez jakékoliv návaznosti na hospodářský výsledek je nastaveno odměňování i pro klíčové funkce interního auditu a </w:t>
      </w:r>
      <w:proofErr w:type="spellStart"/>
      <w:r w:rsidRPr="003542CB">
        <w:rPr>
          <w:rFonts w:cstheme="minorHAnsi"/>
          <w:color w:val="000000" w:themeColor="text1"/>
          <w:sz w:val="24"/>
        </w:rPr>
        <w:t>pojistněmatematickou</w:t>
      </w:r>
      <w:proofErr w:type="spellEnd"/>
      <w:r w:rsidRPr="003542CB">
        <w:rPr>
          <w:rFonts w:cstheme="minorHAnsi"/>
          <w:color w:val="000000" w:themeColor="text1"/>
          <w:sz w:val="24"/>
        </w:rPr>
        <w:t xml:space="preserve"> funkci.</w:t>
      </w:r>
    </w:p>
    <w:p w14:paraId="4D9B9AD7" w14:textId="5C5C4651" w:rsidR="00AE5CF8" w:rsidRDefault="006D5500" w:rsidP="009835E2">
      <w:pPr>
        <w:spacing w:line="280" w:lineRule="atLeast"/>
        <w:jc w:val="both"/>
        <w:rPr>
          <w:rFonts w:cstheme="minorHAnsi"/>
          <w:color w:val="000000" w:themeColor="text1"/>
          <w:sz w:val="24"/>
        </w:rPr>
      </w:pPr>
      <w:r w:rsidRPr="003542CB">
        <w:rPr>
          <w:rFonts w:cstheme="minorHAnsi"/>
          <w:color w:val="000000" w:themeColor="text1"/>
          <w:sz w:val="24"/>
        </w:rPr>
        <w:t xml:space="preserve">Generální ředitel Pojišťovny </w:t>
      </w:r>
      <w:r w:rsidR="00AA4858" w:rsidRPr="003542CB">
        <w:rPr>
          <w:rFonts w:cstheme="minorHAnsi"/>
          <w:color w:val="000000" w:themeColor="text1"/>
          <w:sz w:val="24"/>
        </w:rPr>
        <w:t>má</w:t>
      </w:r>
      <w:r w:rsidRPr="003542CB">
        <w:rPr>
          <w:rFonts w:cstheme="minorHAnsi"/>
          <w:color w:val="000000" w:themeColor="text1"/>
          <w:sz w:val="24"/>
        </w:rPr>
        <w:t xml:space="preserve"> odmě</w:t>
      </w:r>
      <w:r w:rsidR="00AA4858" w:rsidRPr="003542CB">
        <w:rPr>
          <w:rFonts w:cstheme="minorHAnsi"/>
          <w:color w:val="000000" w:themeColor="text1"/>
          <w:sz w:val="24"/>
        </w:rPr>
        <w:t>nu složenou rovněž z</w:t>
      </w:r>
      <w:r w:rsidRPr="003542CB">
        <w:rPr>
          <w:rFonts w:cstheme="minorHAnsi"/>
          <w:color w:val="000000" w:themeColor="text1"/>
          <w:sz w:val="24"/>
        </w:rPr>
        <w:t xml:space="preserve"> </w:t>
      </w:r>
      <w:r w:rsidR="00AF65B6" w:rsidRPr="003542CB">
        <w:rPr>
          <w:rFonts w:cstheme="minorHAnsi"/>
          <w:color w:val="000000" w:themeColor="text1"/>
          <w:sz w:val="24"/>
        </w:rPr>
        <w:t>fixní a bonusov</w:t>
      </w:r>
      <w:r w:rsidR="00AA4858" w:rsidRPr="003542CB">
        <w:rPr>
          <w:rFonts w:cstheme="minorHAnsi"/>
          <w:color w:val="000000" w:themeColor="text1"/>
          <w:sz w:val="24"/>
        </w:rPr>
        <w:t>é</w:t>
      </w:r>
      <w:r w:rsidR="00AF65B6" w:rsidRPr="003542CB">
        <w:rPr>
          <w:rFonts w:cstheme="minorHAnsi"/>
          <w:color w:val="000000" w:themeColor="text1"/>
          <w:sz w:val="24"/>
        </w:rPr>
        <w:t xml:space="preserve"> složk</w:t>
      </w:r>
      <w:r w:rsidR="00AA4858" w:rsidRPr="003542CB">
        <w:rPr>
          <w:rFonts w:cstheme="minorHAnsi"/>
          <w:color w:val="000000" w:themeColor="text1"/>
          <w:sz w:val="24"/>
        </w:rPr>
        <w:t>y. Roční bonusová složka o</w:t>
      </w:r>
      <w:r w:rsidR="00AE5CF8" w:rsidRPr="003542CB">
        <w:rPr>
          <w:rFonts w:cstheme="minorHAnsi"/>
          <w:color w:val="000000" w:themeColor="text1"/>
          <w:sz w:val="24"/>
        </w:rPr>
        <w:t>dměn</w:t>
      </w:r>
      <w:r w:rsidR="00AA4858" w:rsidRPr="003542CB">
        <w:rPr>
          <w:rFonts w:cstheme="minorHAnsi"/>
          <w:color w:val="000000" w:themeColor="text1"/>
          <w:sz w:val="24"/>
        </w:rPr>
        <w:t>y</w:t>
      </w:r>
      <w:r w:rsidR="00AE5CF8" w:rsidRPr="003542CB">
        <w:rPr>
          <w:rFonts w:cstheme="minorHAnsi"/>
          <w:color w:val="000000" w:themeColor="text1"/>
          <w:sz w:val="24"/>
        </w:rPr>
        <w:t xml:space="preserve"> generálního ředitele je konstruována na základě vazby na splnění stanovených osobních úkolů. </w:t>
      </w:r>
    </w:p>
    <w:p w14:paraId="5B027827" w14:textId="77777777" w:rsidR="009835E2" w:rsidRPr="003542CB" w:rsidRDefault="009835E2" w:rsidP="009835E2">
      <w:pPr>
        <w:spacing w:line="280" w:lineRule="atLeast"/>
        <w:jc w:val="both"/>
        <w:rPr>
          <w:rFonts w:cstheme="minorHAnsi"/>
          <w:color w:val="000000" w:themeColor="text1"/>
          <w:sz w:val="24"/>
        </w:rPr>
      </w:pPr>
    </w:p>
    <w:p w14:paraId="658FFA0D" w14:textId="7F6EBB89" w:rsidR="0024102A" w:rsidRPr="003542CB" w:rsidRDefault="0024102A" w:rsidP="009835E2">
      <w:pPr>
        <w:pStyle w:val="Nadpis2"/>
        <w:spacing w:after="120" w:line="280" w:lineRule="atLeast"/>
        <w:rPr>
          <w:rFonts w:asciiTheme="minorHAnsi" w:hAnsiTheme="minorHAnsi" w:cstheme="minorHAnsi"/>
          <w:b/>
          <w:color w:val="000000" w:themeColor="text1"/>
        </w:rPr>
      </w:pPr>
      <w:bookmarkStart w:id="23" w:name="_Toc75366892"/>
      <w:r w:rsidRPr="003542CB">
        <w:rPr>
          <w:rFonts w:asciiTheme="minorHAnsi" w:hAnsiTheme="minorHAnsi" w:cstheme="minorHAnsi"/>
          <w:b/>
          <w:color w:val="000000" w:themeColor="text1"/>
        </w:rPr>
        <w:t>4.</w:t>
      </w:r>
      <w:r w:rsidR="006721C6" w:rsidRPr="003542CB">
        <w:rPr>
          <w:rFonts w:asciiTheme="minorHAnsi" w:hAnsiTheme="minorHAnsi" w:cstheme="minorHAnsi"/>
          <w:b/>
          <w:color w:val="000000" w:themeColor="text1"/>
        </w:rPr>
        <w:t>5</w:t>
      </w:r>
      <w:r w:rsidRPr="003542CB">
        <w:rPr>
          <w:rFonts w:asciiTheme="minorHAnsi" w:hAnsiTheme="minorHAnsi" w:cstheme="minorHAnsi"/>
          <w:b/>
          <w:color w:val="000000" w:themeColor="text1"/>
        </w:rPr>
        <w:t>. Informace o outsourcingu</w:t>
      </w:r>
      <w:bookmarkEnd w:id="23"/>
    </w:p>
    <w:p w14:paraId="3610B651" w14:textId="10613170" w:rsidR="0024102A" w:rsidRPr="003542CB" w:rsidRDefault="00AA4BF1" w:rsidP="009835E2">
      <w:pPr>
        <w:spacing w:line="280" w:lineRule="atLeast"/>
        <w:jc w:val="both"/>
        <w:rPr>
          <w:rFonts w:cstheme="minorHAnsi"/>
          <w:color w:val="000000" w:themeColor="text1"/>
          <w:sz w:val="24"/>
        </w:rPr>
      </w:pPr>
      <w:r w:rsidRPr="003542CB">
        <w:rPr>
          <w:rFonts w:cstheme="minorHAnsi"/>
          <w:color w:val="000000" w:themeColor="text1"/>
          <w:sz w:val="24"/>
        </w:rPr>
        <w:t xml:space="preserve">Vzhledem k nemožnosti a ekonomické nevýhodnosti zajištění všech klíčových funkcí zaměstnanci Pojišťovny je outsourcován i </w:t>
      </w:r>
      <w:r w:rsidR="00A76CDD" w:rsidRPr="003542CB">
        <w:rPr>
          <w:rFonts w:cstheme="minorHAnsi"/>
          <w:color w:val="000000" w:themeColor="text1"/>
          <w:sz w:val="24"/>
        </w:rPr>
        <w:t xml:space="preserve">výkon </w:t>
      </w:r>
      <w:r w:rsidRPr="003542CB">
        <w:rPr>
          <w:rFonts w:cstheme="minorHAnsi"/>
          <w:color w:val="000000" w:themeColor="text1"/>
          <w:sz w:val="24"/>
        </w:rPr>
        <w:t>jedn</w:t>
      </w:r>
      <w:r w:rsidR="00A76CDD" w:rsidRPr="003542CB">
        <w:rPr>
          <w:rFonts w:cstheme="minorHAnsi"/>
          <w:color w:val="000000" w:themeColor="text1"/>
          <w:sz w:val="24"/>
        </w:rPr>
        <w:t>é</w:t>
      </w:r>
      <w:r w:rsidRPr="003542CB">
        <w:rPr>
          <w:rFonts w:cstheme="minorHAnsi"/>
          <w:color w:val="000000" w:themeColor="text1"/>
          <w:sz w:val="24"/>
        </w:rPr>
        <w:t xml:space="preserve"> z klíčových funkcí, a to </w:t>
      </w:r>
      <w:proofErr w:type="spellStart"/>
      <w:r w:rsidRPr="003542CB">
        <w:rPr>
          <w:rFonts w:cstheme="minorHAnsi"/>
          <w:color w:val="000000" w:themeColor="text1"/>
          <w:sz w:val="24"/>
        </w:rPr>
        <w:t>pojistněmatematick</w:t>
      </w:r>
      <w:r w:rsidR="008B0D25" w:rsidRPr="003542CB">
        <w:rPr>
          <w:rFonts w:cstheme="minorHAnsi"/>
          <w:color w:val="000000" w:themeColor="text1"/>
          <w:sz w:val="24"/>
        </w:rPr>
        <w:t>é</w:t>
      </w:r>
      <w:proofErr w:type="spellEnd"/>
      <w:r w:rsidRPr="003542CB">
        <w:rPr>
          <w:rFonts w:cstheme="minorHAnsi"/>
          <w:color w:val="000000" w:themeColor="text1"/>
          <w:sz w:val="24"/>
        </w:rPr>
        <w:t xml:space="preserve"> funkce, </w:t>
      </w:r>
      <w:r w:rsidR="008B0D25" w:rsidRPr="003542CB">
        <w:rPr>
          <w:rFonts w:cstheme="minorHAnsi"/>
          <w:color w:val="000000" w:themeColor="text1"/>
          <w:sz w:val="24"/>
        </w:rPr>
        <w:t xml:space="preserve">jež je </w:t>
      </w:r>
      <w:r w:rsidRPr="003542CB">
        <w:rPr>
          <w:rFonts w:cstheme="minorHAnsi"/>
          <w:color w:val="000000" w:themeColor="text1"/>
          <w:sz w:val="24"/>
        </w:rPr>
        <w:t>zajišťována externím pojistným matematikem. Dohled je zajišťován kontrolou výpočtu technických rezerv dodaného pojistným matematikem</w:t>
      </w:r>
      <w:r w:rsidR="00A35046" w:rsidRPr="003542CB">
        <w:rPr>
          <w:rFonts w:cstheme="minorHAnsi"/>
          <w:color w:val="000000" w:themeColor="text1"/>
          <w:sz w:val="24"/>
        </w:rPr>
        <w:t>, kter</w:t>
      </w:r>
      <w:r w:rsidR="00AA4858" w:rsidRPr="003542CB">
        <w:rPr>
          <w:rFonts w:cstheme="minorHAnsi"/>
          <w:color w:val="000000" w:themeColor="text1"/>
          <w:sz w:val="24"/>
        </w:rPr>
        <w:t>ou provádí</w:t>
      </w:r>
      <w:r w:rsidR="00A35046" w:rsidRPr="003542CB">
        <w:rPr>
          <w:rFonts w:cstheme="minorHAnsi"/>
          <w:color w:val="000000" w:themeColor="text1"/>
          <w:sz w:val="24"/>
        </w:rPr>
        <w:t xml:space="preserve"> výkonný ředitel.</w:t>
      </w:r>
    </w:p>
    <w:p w14:paraId="3A2F0490" w14:textId="48C45FB6" w:rsidR="00611A11" w:rsidRPr="003542CB" w:rsidRDefault="00611A11" w:rsidP="003B4FAA">
      <w:pPr>
        <w:spacing w:line="280" w:lineRule="atLeast"/>
        <w:jc w:val="both"/>
        <w:rPr>
          <w:rFonts w:cstheme="minorHAnsi"/>
          <w:color w:val="000000" w:themeColor="text1"/>
          <w:sz w:val="24"/>
        </w:rPr>
      </w:pPr>
      <w:r w:rsidRPr="003542CB">
        <w:rPr>
          <w:rFonts w:cstheme="minorHAnsi"/>
          <w:color w:val="000000" w:themeColor="text1"/>
          <w:sz w:val="24"/>
        </w:rPr>
        <w:t>Další oblast</w:t>
      </w:r>
      <w:r w:rsidR="00A65320" w:rsidRPr="003542CB">
        <w:rPr>
          <w:rFonts w:cstheme="minorHAnsi"/>
          <w:color w:val="000000" w:themeColor="text1"/>
          <w:sz w:val="24"/>
        </w:rPr>
        <w:t>í</w:t>
      </w:r>
      <w:r w:rsidRPr="003542CB">
        <w:rPr>
          <w:rFonts w:cstheme="minorHAnsi"/>
          <w:color w:val="000000" w:themeColor="text1"/>
          <w:sz w:val="24"/>
        </w:rPr>
        <w:t xml:space="preserve">, ve kterých je využíván outsourcing, nejsou považované za klíčové, přesto Pojišťovna dává přednost spolupráci s dlouhodobými a </w:t>
      </w:r>
      <w:r w:rsidR="00914946" w:rsidRPr="003542CB">
        <w:rPr>
          <w:rFonts w:cstheme="minorHAnsi"/>
          <w:color w:val="000000" w:themeColor="text1"/>
          <w:sz w:val="24"/>
        </w:rPr>
        <w:t>ověřenými</w:t>
      </w:r>
      <w:r w:rsidRPr="003542CB">
        <w:rPr>
          <w:rFonts w:cstheme="minorHAnsi"/>
          <w:color w:val="000000" w:themeColor="text1"/>
          <w:sz w:val="24"/>
        </w:rPr>
        <w:t xml:space="preserve"> partnery</w:t>
      </w:r>
      <w:r w:rsidR="00914946" w:rsidRPr="003542CB">
        <w:rPr>
          <w:rFonts w:cstheme="minorHAnsi"/>
          <w:color w:val="000000" w:themeColor="text1"/>
          <w:sz w:val="24"/>
        </w:rPr>
        <w:t>, což napomáhá minimalizaci rizik plynoucích z využívání outsourcingu.</w:t>
      </w:r>
    </w:p>
    <w:p w14:paraId="38CED890" w14:textId="77777777" w:rsidR="007F356C" w:rsidRPr="003542CB" w:rsidRDefault="007F356C" w:rsidP="00E3584D">
      <w:pPr>
        <w:spacing w:line="280" w:lineRule="atLeast"/>
        <w:jc w:val="both"/>
        <w:rPr>
          <w:rFonts w:cstheme="minorHAnsi"/>
          <w:color w:val="000000" w:themeColor="text1"/>
          <w:sz w:val="24"/>
        </w:rPr>
      </w:pPr>
    </w:p>
    <w:p w14:paraId="7256D464" w14:textId="406D629B" w:rsidR="00914946" w:rsidRPr="003542CB" w:rsidRDefault="00914946" w:rsidP="003F1EDB">
      <w:pPr>
        <w:pStyle w:val="Nadpis2"/>
        <w:spacing w:after="120" w:line="280" w:lineRule="atLeast"/>
        <w:rPr>
          <w:rFonts w:asciiTheme="minorHAnsi" w:hAnsiTheme="minorHAnsi" w:cstheme="minorHAnsi"/>
          <w:b/>
          <w:color w:val="000000" w:themeColor="text1"/>
        </w:rPr>
      </w:pPr>
      <w:bookmarkStart w:id="24" w:name="_Toc75366893"/>
      <w:r w:rsidRPr="003542CB">
        <w:rPr>
          <w:rFonts w:asciiTheme="minorHAnsi" w:hAnsiTheme="minorHAnsi" w:cstheme="minorHAnsi"/>
          <w:b/>
          <w:color w:val="000000" w:themeColor="text1"/>
        </w:rPr>
        <w:t>4.</w:t>
      </w:r>
      <w:r w:rsidR="006721C6" w:rsidRPr="003542CB">
        <w:rPr>
          <w:rFonts w:asciiTheme="minorHAnsi" w:hAnsiTheme="minorHAnsi" w:cstheme="minorHAnsi"/>
          <w:b/>
          <w:color w:val="000000" w:themeColor="text1"/>
        </w:rPr>
        <w:t>6</w:t>
      </w:r>
      <w:r w:rsidRPr="003542CB">
        <w:rPr>
          <w:rFonts w:asciiTheme="minorHAnsi" w:hAnsiTheme="minorHAnsi" w:cstheme="minorHAnsi"/>
          <w:b/>
          <w:color w:val="000000" w:themeColor="text1"/>
        </w:rPr>
        <w:t>. Požadavky na způsobilost a bezúhonnost</w:t>
      </w:r>
      <w:bookmarkEnd w:id="24"/>
    </w:p>
    <w:p w14:paraId="26E3047C" w14:textId="77777777" w:rsidR="00914946" w:rsidRPr="003542CB" w:rsidRDefault="00914946" w:rsidP="003B4FAA">
      <w:pPr>
        <w:spacing w:line="280" w:lineRule="atLeast"/>
        <w:jc w:val="both"/>
        <w:rPr>
          <w:rFonts w:cstheme="minorHAnsi"/>
          <w:color w:val="000000" w:themeColor="text1"/>
          <w:sz w:val="24"/>
        </w:rPr>
      </w:pPr>
      <w:r w:rsidRPr="003542CB">
        <w:rPr>
          <w:rFonts w:cstheme="minorHAnsi"/>
          <w:color w:val="000000" w:themeColor="text1"/>
          <w:sz w:val="24"/>
        </w:rPr>
        <w:t>Požadavky na způsobilost a bezúhonnost jsou řešeny v případě změny na pozici osoby s klíčovou funkcí. Jmenování členů statutárních orgánů je plně v pravomoci jediného akcionáře a reflektuje požadavek na odbornou způsobilost nového člena, která je prokazována profesním životopisem a dokladem o nejvyšším dosaženém vzdělání.</w:t>
      </w:r>
    </w:p>
    <w:p w14:paraId="5357F85C" w14:textId="216764C9" w:rsidR="005D30E7" w:rsidRPr="003542CB" w:rsidRDefault="005D30E7" w:rsidP="003B4FAA">
      <w:pPr>
        <w:spacing w:line="280" w:lineRule="atLeast"/>
        <w:jc w:val="both"/>
        <w:rPr>
          <w:rFonts w:cstheme="minorHAnsi"/>
          <w:color w:val="000000" w:themeColor="text1"/>
          <w:sz w:val="24"/>
        </w:rPr>
      </w:pPr>
      <w:r w:rsidRPr="003542CB">
        <w:rPr>
          <w:rFonts w:cstheme="minorHAnsi"/>
          <w:color w:val="000000" w:themeColor="text1"/>
          <w:sz w:val="24"/>
        </w:rPr>
        <w:t xml:space="preserve">Požadavky na způsobilost a bezúhonnost </w:t>
      </w:r>
      <w:r w:rsidR="00FE5AFE" w:rsidRPr="003542CB">
        <w:rPr>
          <w:rFonts w:cstheme="minorHAnsi"/>
          <w:color w:val="000000" w:themeColor="text1"/>
          <w:sz w:val="24"/>
        </w:rPr>
        <w:t xml:space="preserve">jsou </w:t>
      </w:r>
      <w:r w:rsidRPr="003542CB">
        <w:rPr>
          <w:rFonts w:cstheme="minorHAnsi"/>
          <w:color w:val="000000" w:themeColor="text1"/>
          <w:sz w:val="24"/>
        </w:rPr>
        <w:t>specifikovány samostatnou interní směrnicí</w:t>
      </w:r>
      <w:r w:rsidR="00FE5AFE" w:rsidRPr="003542CB">
        <w:rPr>
          <w:rFonts w:cstheme="minorHAnsi"/>
          <w:color w:val="000000" w:themeColor="text1"/>
          <w:sz w:val="24"/>
        </w:rPr>
        <w:t xml:space="preserve">. </w:t>
      </w:r>
    </w:p>
    <w:p w14:paraId="0E9999C7" w14:textId="5C5AAD43" w:rsidR="00FE5AFE" w:rsidRPr="003542CB" w:rsidRDefault="00A35046" w:rsidP="00B8278E">
      <w:pPr>
        <w:spacing w:line="280" w:lineRule="atLeast"/>
        <w:jc w:val="both"/>
        <w:rPr>
          <w:rFonts w:cstheme="minorHAnsi"/>
          <w:color w:val="000000" w:themeColor="text1"/>
          <w:sz w:val="24"/>
        </w:rPr>
      </w:pPr>
      <w:r w:rsidRPr="003542CB">
        <w:rPr>
          <w:rFonts w:cstheme="minorHAnsi"/>
          <w:color w:val="000000" w:themeColor="text1"/>
          <w:sz w:val="24"/>
        </w:rPr>
        <w:t>U členů statutárních orgánů</w:t>
      </w:r>
      <w:r w:rsidR="006D5500" w:rsidRPr="003542CB">
        <w:rPr>
          <w:rFonts w:cstheme="minorHAnsi"/>
          <w:color w:val="000000" w:themeColor="text1"/>
          <w:sz w:val="24"/>
        </w:rPr>
        <w:t xml:space="preserve"> jmenovaných jediným akcionářem hodnotí způsobilost a bezúhonnost příslušný statutární orgán sám. Na pozici generálního ředitele jsou požadavky hodnoceny představenstvem. Pozice výkonného ředitele je z pohledu způsobilosti a bezúhonnosti hodnocena generálním ředitelem, který má pravomoc i v přijímání řadových zaměstnanců.</w:t>
      </w:r>
    </w:p>
    <w:p w14:paraId="6A551556" w14:textId="69D4B761" w:rsidR="00F93879" w:rsidRDefault="00F93879">
      <w:pPr>
        <w:rPr>
          <w:rFonts w:cstheme="minorHAnsi"/>
          <w:color w:val="000000" w:themeColor="text1"/>
          <w:sz w:val="24"/>
        </w:rPr>
      </w:pPr>
      <w:r>
        <w:rPr>
          <w:rFonts w:cstheme="minorHAnsi"/>
          <w:color w:val="000000" w:themeColor="text1"/>
          <w:sz w:val="24"/>
        </w:rPr>
        <w:br w:type="page"/>
      </w:r>
    </w:p>
    <w:p w14:paraId="5D207814" w14:textId="77777777" w:rsidR="00AE477F" w:rsidRPr="003542CB" w:rsidRDefault="00AE477F" w:rsidP="00E3584D">
      <w:pPr>
        <w:pStyle w:val="Nadpis1"/>
        <w:spacing w:line="280" w:lineRule="atLeast"/>
        <w:jc w:val="center"/>
        <w:rPr>
          <w:rFonts w:asciiTheme="minorHAnsi" w:hAnsiTheme="minorHAnsi" w:cstheme="minorHAnsi"/>
          <w:b/>
          <w:color w:val="000000" w:themeColor="text1"/>
        </w:rPr>
      </w:pPr>
      <w:bookmarkStart w:id="25" w:name="_Toc75366894"/>
      <w:r w:rsidRPr="003542CB">
        <w:rPr>
          <w:rFonts w:asciiTheme="minorHAnsi" w:hAnsiTheme="minorHAnsi" w:cstheme="minorHAnsi"/>
          <w:b/>
          <w:color w:val="000000" w:themeColor="text1"/>
        </w:rPr>
        <w:lastRenderedPageBreak/>
        <w:t>5. RIZIKOVÝ PROFIL</w:t>
      </w:r>
      <w:bookmarkEnd w:id="25"/>
    </w:p>
    <w:p w14:paraId="41AB906D" w14:textId="77777777" w:rsidR="00AE477F" w:rsidRPr="003542CB" w:rsidRDefault="00AE477F" w:rsidP="00E3584D">
      <w:pPr>
        <w:spacing w:line="280" w:lineRule="atLeast"/>
        <w:jc w:val="both"/>
        <w:rPr>
          <w:rFonts w:cstheme="minorHAnsi"/>
          <w:color w:val="000000" w:themeColor="text1"/>
          <w:sz w:val="24"/>
          <w:szCs w:val="24"/>
        </w:rPr>
      </w:pPr>
    </w:p>
    <w:p w14:paraId="6DD0746B" w14:textId="77777777" w:rsidR="00AE477F" w:rsidRPr="003542CB" w:rsidRDefault="00AE477F" w:rsidP="00313ABF">
      <w:pPr>
        <w:pStyle w:val="Nadpis2"/>
        <w:spacing w:after="120" w:line="280" w:lineRule="atLeast"/>
        <w:rPr>
          <w:rFonts w:asciiTheme="minorHAnsi" w:hAnsiTheme="minorHAnsi" w:cstheme="minorHAnsi"/>
          <w:b/>
          <w:color w:val="000000" w:themeColor="text1"/>
        </w:rPr>
      </w:pPr>
      <w:bookmarkStart w:id="26" w:name="_Toc75366895"/>
      <w:r w:rsidRPr="003542CB">
        <w:rPr>
          <w:rFonts w:asciiTheme="minorHAnsi" w:hAnsiTheme="minorHAnsi" w:cstheme="minorHAnsi"/>
          <w:b/>
          <w:color w:val="000000" w:themeColor="text1"/>
        </w:rPr>
        <w:t xml:space="preserve">5.1. </w:t>
      </w:r>
      <w:r w:rsidR="005B3A7A" w:rsidRPr="003542CB">
        <w:rPr>
          <w:rFonts w:asciiTheme="minorHAnsi" w:hAnsiTheme="minorHAnsi" w:cstheme="minorHAnsi"/>
          <w:b/>
          <w:color w:val="000000" w:themeColor="text1"/>
        </w:rPr>
        <w:t>Rizikový profil</w:t>
      </w:r>
      <w:bookmarkEnd w:id="26"/>
    </w:p>
    <w:p w14:paraId="6EBF7DF5" w14:textId="50ABD9C5" w:rsidR="00501FF0" w:rsidRPr="003542CB" w:rsidRDefault="0037241C" w:rsidP="00E3584D">
      <w:pPr>
        <w:spacing w:line="280" w:lineRule="atLeast"/>
        <w:jc w:val="both"/>
        <w:rPr>
          <w:rFonts w:cstheme="minorHAnsi"/>
          <w:color w:val="000000" w:themeColor="text1"/>
          <w:sz w:val="24"/>
        </w:rPr>
      </w:pPr>
      <w:r w:rsidRPr="003542CB">
        <w:rPr>
          <w:rFonts w:cstheme="minorHAnsi"/>
          <w:color w:val="000000" w:themeColor="text1"/>
          <w:sz w:val="24"/>
        </w:rPr>
        <w:t xml:space="preserve">Pojišťovna </w:t>
      </w:r>
      <w:r w:rsidR="007C2BCA" w:rsidRPr="003542CB">
        <w:rPr>
          <w:rFonts w:cstheme="minorHAnsi"/>
          <w:color w:val="000000" w:themeColor="text1"/>
          <w:sz w:val="24"/>
        </w:rPr>
        <w:t>nastavením své obchodní strategie, specializovanou produktovou nabídkou a velmi konzervativní investiční strategií naplňuje svůj záměr udržet si konzervativní rizikový profil. Nastavení uvedených prvků přispívá k vyhnutí se, anebo minimalizaci rizik s nimi spojených.</w:t>
      </w:r>
    </w:p>
    <w:p w14:paraId="43500AED" w14:textId="14242357" w:rsidR="007C2BCA" w:rsidRPr="003542CB" w:rsidRDefault="007C2BCA" w:rsidP="00E3584D">
      <w:pPr>
        <w:spacing w:line="280" w:lineRule="atLeast"/>
        <w:jc w:val="both"/>
        <w:rPr>
          <w:rFonts w:cstheme="minorHAnsi"/>
          <w:color w:val="000000" w:themeColor="text1"/>
          <w:sz w:val="24"/>
        </w:rPr>
      </w:pPr>
      <w:r w:rsidRPr="003542CB">
        <w:rPr>
          <w:rFonts w:cstheme="minorHAnsi"/>
          <w:color w:val="000000" w:themeColor="text1"/>
          <w:sz w:val="24"/>
        </w:rPr>
        <w:t xml:space="preserve">Obchodní strategie </w:t>
      </w:r>
      <w:r w:rsidR="00B34D07" w:rsidRPr="003542CB">
        <w:rPr>
          <w:rFonts w:cstheme="minorHAnsi"/>
          <w:color w:val="000000" w:themeColor="text1"/>
          <w:sz w:val="24"/>
        </w:rPr>
        <w:t xml:space="preserve">stanovující </w:t>
      </w:r>
      <w:proofErr w:type="spellStart"/>
      <w:r w:rsidR="00B34D07" w:rsidRPr="003542CB">
        <w:rPr>
          <w:rFonts w:cstheme="minorHAnsi"/>
          <w:color w:val="000000" w:themeColor="text1"/>
          <w:sz w:val="24"/>
        </w:rPr>
        <w:t>targeting</w:t>
      </w:r>
      <w:proofErr w:type="spellEnd"/>
      <w:r w:rsidR="00B34D07" w:rsidRPr="003542CB">
        <w:rPr>
          <w:rFonts w:cstheme="minorHAnsi"/>
          <w:color w:val="000000" w:themeColor="text1"/>
          <w:sz w:val="24"/>
        </w:rPr>
        <w:t xml:space="preserve"> </w:t>
      </w:r>
      <w:r w:rsidRPr="003542CB">
        <w:rPr>
          <w:rFonts w:cstheme="minorHAnsi"/>
          <w:color w:val="000000" w:themeColor="text1"/>
          <w:sz w:val="24"/>
        </w:rPr>
        <w:t>na klienty partnerských zdravotních pojišťoven</w:t>
      </w:r>
      <w:r w:rsidR="00B34D07" w:rsidRPr="003542CB">
        <w:rPr>
          <w:rFonts w:cstheme="minorHAnsi"/>
          <w:color w:val="000000" w:themeColor="text1"/>
          <w:sz w:val="24"/>
        </w:rPr>
        <w:t xml:space="preserve"> přispívá k mini</w:t>
      </w:r>
      <w:r w:rsidR="00215CB3" w:rsidRPr="003542CB">
        <w:rPr>
          <w:rFonts w:cstheme="minorHAnsi"/>
          <w:color w:val="000000" w:themeColor="text1"/>
          <w:sz w:val="24"/>
        </w:rPr>
        <w:t>m</w:t>
      </w:r>
      <w:r w:rsidR="00B34D07" w:rsidRPr="003542CB">
        <w:rPr>
          <w:rFonts w:cstheme="minorHAnsi"/>
          <w:color w:val="000000" w:themeColor="text1"/>
          <w:sz w:val="24"/>
        </w:rPr>
        <w:t>alizaci rizik spojených s</w:t>
      </w:r>
      <w:r w:rsidR="00215CB3" w:rsidRPr="003542CB">
        <w:rPr>
          <w:rFonts w:cstheme="minorHAnsi"/>
          <w:color w:val="000000" w:themeColor="text1"/>
          <w:sz w:val="24"/>
        </w:rPr>
        <w:t xml:space="preserve">e získáváním a udržením klientů. Příspěvky partnerských zdravotních pojišťoven </w:t>
      </w:r>
      <w:r w:rsidR="00DB559A" w:rsidRPr="003542CB">
        <w:rPr>
          <w:rFonts w:cstheme="minorHAnsi"/>
          <w:color w:val="000000" w:themeColor="text1"/>
          <w:sz w:val="24"/>
        </w:rPr>
        <w:t>jejich klientům umožňují Pojišťovně držet si konkurenční výhodu.</w:t>
      </w:r>
      <w:r w:rsidR="005D038B" w:rsidRPr="003542CB">
        <w:rPr>
          <w:rFonts w:cstheme="minorHAnsi"/>
          <w:color w:val="000000" w:themeColor="text1"/>
          <w:sz w:val="24"/>
        </w:rPr>
        <w:t xml:space="preserve"> </w:t>
      </w:r>
    </w:p>
    <w:p w14:paraId="70C007BA" w14:textId="496C8C6F" w:rsidR="00DB559A" w:rsidRPr="003542CB" w:rsidRDefault="00DB559A" w:rsidP="00E3584D">
      <w:pPr>
        <w:spacing w:line="280" w:lineRule="atLeast"/>
        <w:jc w:val="both"/>
        <w:rPr>
          <w:rFonts w:cstheme="minorHAnsi"/>
          <w:color w:val="000000" w:themeColor="text1"/>
          <w:sz w:val="24"/>
        </w:rPr>
      </w:pPr>
      <w:r w:rsidRPr="003542CB">
        <w:rPr>
          <w:rFonts w:cstheme="minorHAnsi"/>
          <w:color w:val="000000" w:themeColor="text1"/>
          <w:sz w:val="24"/>
        </w:rPr>
        <w:t>Úzká produktová nabídka zase přispívá k minimalizaci upi</w:t>
      </w:r>
      <w:r w:rsidR="00C34608" w:rsidRPr="003542CB">
        <w:rPr>
          <w:rFonts w:cstheme="minorHAnsi"/>
          <w:color w:val="000000" w:themeColor="text1"/>
          <w:sz w:val="24"/>
        </w:rPr>
        <w:t>sovacích rizik. Například</w:t>
      </w:r>
      <w:r w:rsidRPr="003542CB">
        <w:rPr>
          <w:rFonts w:cstheme="minorHAnsi"/>
          <w:color w:val="000000" w:themeColor="text1"/>
          <w:sz w:val="24"/>
        </w:rPr>
        <w:t xml:space="preserve"> riziko storen</w:t>
      </w:r>
      <w:r w:rsidR="00220255" w:rsidRPr="003542CB">
        <w:rPr>
          <w:rFonts w:cstheme="minorHAnsi"/>
          <w:color w:val="000000" w:themeColor="text1"/>
          <w:sz w:val="24"/>
        </w:rPr>
        <w:t xml:space="preserve"> u cestovního pojištění</w:t>
      </w:r>
      <w:r w:rsidRPr="003542CB">
        <w:rPr>
          <w:rFonts w:cstheme="minorHAnsi"/>
          <w:color w:val="000000" w:themeColor="text1"/>
          <w:sz w:val="24"/>
        </w:rPr>
        <w:t xml:space="preserve"> je </w:t>
      </w:r>
      <w:r w:rsidR="006D5500" w:rsidRPr="003542CB">
        <w:rPr>
          <w:rFonts w:cstheme="minorHAnsi"/>
          <w:color w:val="000000" w:themeColor="text1"/>
          <w:sz w:val="24"/>
        </w:rPr>
        <w:t>zcela minimální</w:t>
      </w:r>
      <w:r w:rsidRPr="003542CB">
        <w:rPr>
          <w:rFonts w:cstheme="minorHAnsi"/>
          <w:color w:val="000000" w:themeColor="text1"/>
          <w:sz w:val="24"/>
        </w:rPr>
        <w:t>, jelikož pojistná smlouva je platná až po připsání pojistného na účet Pojišťovny.</w:t>
      </w:r>
      <w:r w:rsidR="00C34608" w:rsidRPr="003542CB">
        <w:rPr>
          <w:rFonts w:cstheme="minorHAnsi"/>
          <w:color w:val="000000" w:themeColor="text1"/>
          <w:sz w:val="24"/>
        </w:rPr>
        <w:t xml:space="preserve"> </w:t>
      </w:r>
    </w:p>
    <w:p w14:paraId="11F55E6A" w14:textId="64545145" w:rsidR="00653D43" w:rsidRPr="003542CB" w:rsidRDefault="00653D43" w:rsidP="00E3584D">
      <w:pPr>
        <w:spacing w:line="280" w:lineRule="atLeast"/>
        <w:jc w:val="both"/>
        <w:rPr>
          <w:rFonts w:cstheme="minorHAnsi"/>
          <w:color w:val="000000" w:themeColor="text1"/>
          <w:sz w:val="24"/>
        </w:rPr>
      </w:pPr>
      <w:r w:rsidRPr="003542CB">
        <w:rPr>
          <w:rFonts w:cstheme="minorHAnsi"/>
          <w:color w:val="000000" w:themeColor="text1"/>
          <w:sz w:val="24"/>
        </w:rPr>
        <w:t>Konzervativní investiční strategie, stanovující jako možné finanční umístění pouze české státní dluhopisy a termínované vklady, zase přispívá k minimalizaci především kreditního rizika.</w:t>
      </w:r>
      <w:r w:rsidR="00C34608" w:rsidRPr="003542CB">
        <w:rPr>
          <w:rFonts w:cstheme="minorHAnsi"/>
          <w:color w:val="000000" w:themeColor="text1"/>
          <w:sz w:val="24"/>
        </w:rPr>
        <w:t xml:space="preserve"> Hlavním rizikem, které je tak v podmínkách Pojišťovny v rámci investiční strategie řízeno, je riziko </w:t>
      </w:r>
      <w:r w:rsidR="00200963" w:rsidRPr="003542CB">
        <w:rPr>
          <w:rFonts w:cstheme="minorHAnsi"/>
          <w:color w:val="000000" w:themeColor="text1"/>
          <w:sz w:val="24"/>
        </w:rPr>
        <w:t>koncentrace</w:t>
      </w:r>
      <w:r w:rsidR="00C34608" w:rsidRPr="003542CB">
        <w:rPr>
          <w:rFonts w:cstheme="minorHAnsi"/>
          <w:color w:val="000000" w:themeColor="text1"/>
          <w:sz w:val="24"/>
        </w:rPr>
        <w:t>.</w:t>
      </w:r>
      <w:r w:rsidR="00BD67F0" w:rsidRPr="003542CB">
        <w:rPr>
          <w:rFonts w:cstheme="minorHAnsi"/>
          <w:color w:val="000000" w:themeColor="text1"/>
          <w:sz w:val="24"/>
        </w:rPr>
        <w:t xml:space="preserve"> Zároveň díky absenci jakéhokoliv druhu výnosového pojištění není vyvíjen tlak na výši zhodnocení finančních investic. To umožňuje diverzifikaci finančního umístění mezi konzervativní nástroje finančního trhu </w:t>
      </w:r>
      <w:r w:rsidR="00C1444C" w:rsidRPr="003542CB">
        <w:rPr>
          <w:rFonts w:cstheme="minorHAnsi"/>
          <w:color w:val="000000" w:themeColor="text1"/>
          <w:sz w:val="24"/>
        </w:rPr>
        <w:t>s</w:t>
      </w:r>
      <w:r w:rsidR="00BD67F0" w:rsidRPr="003542CB">
        <w:rPr>
          <w:rFonts w:cstheme="minorHAnsi"/>
          <w:color w:val="000000" w:themeColor="text1"/>
          <w:sz w:val="24"/>
        </w:rPr>
        <w:t> důrazem především na co nejnižší rizikovost.</w:t>
      </w:r>
    </w:p>
    <w:p w14:paraId="0D33B518" w14:textId="11BEA0D5" w:rsidR="00653D43" w:rsidRPr="003542CB" w:rsidRDefault="00C34608" w:rsidP="00E3584D">
      <w:pPr>
        <w:spacing w:line="280" w:lineRule="atLeast"/>
        <w:jc w:val="both"/>
        <w:rPr>
          <w:rFonts w:cstheme="minorHAnsi"/>
          <w:color w:val="000000" w:themeColor="text1"/>
          <w:sz w:val="24"/>
        </w:rPr>
      </w:pPr>
      <w:r w:rsidRPr="003542CB">
        <w:rPr>
          <w:rFonts w:cstheme="minorHAnsi"/>
          <w:color w:val="000000" w:themeColor="text1"/>
          <w:sz w:val="24"/>
        </w:rPr>
        <w:t>Tímto přístupem v uvedených oblastech tak Pojišťovna minimalizuje</w:t>
      </w:r>
      <w:r w:rsidR="00BD67F0" w:rsidRPr="003542CB">
        <w:rPr>
          <w:rFonts w:cstheme="minorHAnsi"/>
          <w:color w:val="000000" w:themeColor="text1"/>
          <w:sz w:val="24"/>
        </w:rPr>
        <w:t xml:space="preserve"> naprostou většinu rizik spojených s hlavními prováděnými činnostmi a umožňuje se tak zaměřit na činnosti provozního charakteru a zkvalitňování zákaznických služeb.</w:t>
      </w:r>
    </w:p>
    <w:p w14:paraId="13B7101F" w14:textId="592CB9E8" w:rsidR="00EB1D80" w:rsidRPr="003542CB" w:rsidRDefault="00EB1D80" w:rsidP="00E3584D">
      <w:pPr>
        <w:spacing w:line="280" w:lineRule="atLeast"/>
        <w:jc w:val="both"/>
        <w:rPr>
          <w:rFonts w:cstheme="minorHAnsi"/>
          <w:color w:val="000000" w:themeColor="text1"/>
          <w:sz w:val="24"/>
        </w:rPr>
      </w:pPr>
      <w:r w:rsidRPr="003542CB">
        <w:rPr>
          <w:rFonts w:cstheme="minorHAnsi"/>
          <w:color w:val="000000" w:themeColor="text1"/>
          <w:sz w:val="24"/>
        </w:rPr>
        <w:t>Z výše uvedeného rovněž plyne zaměření Pojišťovny v oblasti řízení rizik především na rizika operační a další rizika mimo I. pilíř</w:t>
      </w:r>
      <w:r w:rsidR="001C3D49" w:rsidRPr="003542CB">
        <w:rPr>
          <w:rFonts w:cstheme="minorHAnsi"/>
          <w:color w:val="000000" w:themeColor="text1"/>
          <w:sz w:val="24"/>
        </w:rPr>
        <w:t>, která jsou popsána v katalogu rizik, který byl součástí Zprávy ORSA</w:t>
      </w:r>
      <w:r w:rsidR="00385FD4" w:rsidRPr="003542CB">
        <w:rPr>
          <w:rFonts w:cstheme="minorHAnsi"/>
          <w:color w:val="000000" w:themeColor="text1"/>
          <w:sz w:val="24"/>
        </w:rPr>
        <w:t xml:space="preserve"> za rok 20</w:t>
      </w:r>
      <w:r w:rsidR="00F24EC9" w:rsidRPr="003542CB">
        <w:rPr>
          <w:rFonts w:cstheme="minorHAnsi"/>
          <w:color w:val="000000" w:themeColor="text1"/>
          <w:sz w:val="24"/>
        </w:rPr>
        <w:t>20</w:t>
      </w:r>
      <w:r w:rsidR="005D30E7" w:rsidRPr="003542CB">
        <w:rPr>
          <w:rFonts w:cstheme="minorHAnsi"/>
          <w:color w:val="000000" w:themeColor="text1"/>
          <w:sz w:val="24"/>
        </w:rPr>
        <w:t>.</w:t>
      </w:r>
    </w:p>
    <w:p w14:paraId="70F223CA" w14:textId="23E4F1C5" w:rsidR="00BC3F3D" w:rsidRPr="003542CB" w:rsidRDefault="001C3D49" w:rsidP="00E3584D">
      <w:pPr>
        <w:spacing w:line="280" w:lineRule="atLeast"/>
        <w:jc w:val="both"/>
        <w:rPr>
          <w:rFonts w:cstheme="minorHAnsi"/>
          <w:color w:val="000000" w:themeColor="text1"/>
          <w:sz w:val="24"/>
        </w:rPr>
      </w:pPr>
      <w:r w:rsidRPr="003542CB">
        <w:rPr>
          <w:rFonts w:cstheme="minorHAnsi"/>
          <w:color w:val="000000" w:themeColor="text1"/>
          <w:sz w:val="24"/>
        </w:rPr>
        <w:t xml:space="preserve">Základními principy, uplatňovanými v Pojišťovně při řízení rizik, </w:t>
      </w:r>
      <w:r w:rsidR="00BC3F3D" w:rsidRPr="003542CB">
        <w:rPr>
          <w:rFonts w:cstheme="minorHAnsi"/>
          <w:color w:val="000000" w:themeColor="text1"/>
          <w:sz w:val="24"/>
        </w:rPr>
        <w:t>jsou:</w:t>
      </w:r>
    </w:p>
    <w:p w14:paraId="1453F4DF" w14:textId="77777777" w:rsidR="00BC3F3D" w:rsidRPr="003542CB" w:rsidRDefault="00BC3F3D" w:rsidP="00E3584D">
      <w:pPr>
        <w:pStyle w:val="Odstavecseseznamem"/>
        <w:numPr>
          <w:ilvl w:val="0"/>
          <w:numId w:val="6"/>
        </w:numPr>
        <w:spacing w:line="280" w:lineRule="atLeast"/>
        <w:jc w:val="both"/>
        <w:rPr>
          <w:rFonts w:cstheme="minorHAnsi"/>
          <w:color w:val="000000" w:themeColor="text1"/>
          <w:sz w:val="24"/>
        </w:rPr>
      </w:pPr>
      <w:r w:rsidRPr="003542CB">
        <w:rPr>
          <w:rFonts w:cstheme="minorHAnsi"/>
          <w:color w:val="000000" w:themeColor="text1"/>
          <w:sz w:val="24"/>
        </w:rPr>
        <w:t>Identifikace rizik;</w:t>
      </w:r>
    </w:p>
    <w:p w14:paraId="73E5C57B" w14:textId="77777777" w:rsidR="00BC3F3D" w:rsidRPr="003542CB" w:rsidRDefault="00BC3F3D" w:rsidP="00E3584D">
      <w:pPr>
        <w:pStyle w:val="Odstavecseseznamem"/>
        <w:numPr>
          <w:ilvl w:val="0"/>
          <w:numId w:val="6"/>
        </w:numPr>
        <w:spacing w:line="280" w:lineRule="atLeast"/>
        <w:jc w:val="both"/>
        <w:rPr>
          <w:rFonts w:cstheme="minorHAnsi"/>
          <w:color w:val="000000" w:themeColor="text1"/>
          <w:sz w:val="24"/>
        </w:rPr>
      </w:pPr>
      <w:r w:rsidRPr="003542CB">
        <w:rPr>
          <w:rFonts w:cstheme="minorHAnsi"/>
          <w:color w:val="000000" w:themeColor="text1"/>
          <w:sz w:val="24"/>
        </w:rPr>
        <w:t>Hodnocení rizik;</w:t>
      </w:r>
    </w:p>
    <w:p w14:paraId="50D601E9" w14:textId="77777777" w:rsidR="00BC3F3D" w:rsidRPr="003542CB" w:rsidRDefault="00BC3F3D" w:rsidP="00E3584D">
      <w:pPr>
        <w:pStyle w:val="Odstavecseseznamem"/>
        <w:numPr>
          <w:ilvl w:val="0"/>
          <w:numId w:val="6"/>
        </w:numPr>
        <w:spacing w:line="280" w:lineRule="atLeast"/>
        <w:jc w:val="both"/>
        <w:rPr>
          <w:rFonts w:cstheme="minorHAnsi"/>
          <w:color w:val="000000" w:themeColor="text1"/>
          <w:sz w:val="24"/>
        </w:rPr>
      </w:pPr>
      <w:r w:rsidRPr="003542CB">
        <w:rPr>
          <w:rFonts w:cstheme="minorHAnsi"/>
          <w:color w:val="000000" w:themeColor="text1"/>
          <w:sz w:val="24"/>
        </w:rPr>
        <w:t>Monitorování rizik.</w:t>
      </w:r>
    </w:p>
    <w:p w14:paraId="3D1415CC" w14:textId="5925E50B" w:rsidR="00BB5172" w:rsidRPr="003542CB" w:rsidRDefault="001C3D49" w:rsidP="003B4FAA">
      <w:pPr>
        <w:spacing w:line="280" w:lineRule="atLeast"/>
        <w:jc w:val="both"/>
        <w:rPr>
          <w:rFonts w:cstheme="minorHAnsi"/>
          <w:color w:val="000000" w:themeColor="text1"/>
          <w:sz w:val="24"/>
        </w:rPr>
      </w:pPr>
      <w:r w:rsidRPr="003542CB">
        <w:rPr>
          <w:rFonts w:cstheme="minorHAnsi"/>
          <w:color w:val="000000" w:themeColor="text1"/>
          <w:sz w:val="24"/>
        </w:rPr>
        <w:t xml:space="preserve">Tento proces, jako součást procesu ORSA v Pojišťovně, přispívá </w:t>
      </w:r>
      <w:r w:rsidR="00F23396" w:rsidRPr="003542CB">
        <w:rPr>
          <w:rFonts w:cstheme="minorHAnsi"/>
          <w:color w:val="000000" w:themeColor="text1"/>
          <w:sz w:val="24"/>
        </w:rPr>
        <w:t>k předcházení rizikům a k vytváření postupů a procesů, které minimalizují možný výskyt nových rizik.</w:t>
      </w:r>
      <w:r w:rsidR="005571E2" w:rsidRPr="003542CB">
        <w:rPr>
          <w:rFonts w:cstheme="minorHAnsi"/>
          <w:color w:val="000000" w:themeColor="text1"/>
          <w:sz w:val="24"/>
        </w:rPr>
        <w:t xml:space="preserve"> Zároveň je tento proces podrobněji popsán ve Zprávě ORSA za rok 20</w:t>
      </w:r>
      <w:r w:rsidR="00F24EC9" w:rsidRPr="003542CB">
        <w:rPr>
          <w:rFonts w:cstheme="minorHAnsi"/>
          <w:color w:val="000000" w:themeColor="text1"/>
          <w:sz w:val="24"/>
        </w:rPr>
        <w:t>20</w:t>
      </w:r>
      <w:r w:rsidR="005D30E7" w:rsidRPr="003542CB">
        <w:rPr>
          <w:rFonts w:cstheme="minorHAnsi"/>
          <w:color w:val="000000" w:themeColor="text1"/>
          <w:sz w:val="24"/>
        </w:rPr>
        <w:t>.</w:t>
      </w:r>
      <w:r w:rsidR="005571E2" w:rsidRPr="003542CB">
        <w:rPr>
          <w:rFonts w:cstheme="minorHAnsi"/>
          <w:color w:val="000000" w:themeColor="text1"/>
          <w:sz w:val="24"/>
        </w:rPr>
        <w:t xml:space="preserve"> </w:t>
      </w:r>
      <w:r w:rsidR="00A81F2F" w:rsidRPr="003542CB">
        <w:rPr>
          <w:rFonts w:cstheme="minorHAnsi"/>
          <w:color w:val="000000" w:themeColor="text1"/>
          <w:sz w:val="24"/>
        </w:rPr>
        <w:t>Všechny tři fáze procesu ORSA jsou</w:t>
      </w:r>
      <w:r w:rsidR="00BB5172" w:rsidRPr="003542CB">
        <w:rPr>
          <w:rFonts w:cstheme="minorHAnsi"/>
          <w:color w:val="000000" w:themeColor="text1"/>
          <w:sz w:val="24"/>
        </w:rPr>
        <w:t xml:space="preserve"> začleněn</w:t>
      </w:r>
      <w:r w:rsidR="00A81F2F" w:rsidRPr="003542CB">
        <w:rPr>
          <w:rFonts w:cstheme="minorHAnsi"/>
          <w:color w:val="000000" w:themeColor="text1"/>
          <w:sz w:val="24"/>
        </w:rPr>
        <w:t>y</w:t>
      </w:r>
      <w:r w:rsidR="00BB5172" w:rsidRPr="003542CB">
        <w:rPr>
          <w:rFonts w:cstheme="minorHAnsi"/>
          <w:color w:val="000000" w:themeColor="text1"/>
          <w:sz w:val="24"/>
        </w:rPr>
        <w:t xml:space="preserve"> do rozhodování v Pojišťovně </w:t>
      </w:r>
      <w:r w:rsidR="00A81F2F" w:rsidRPr="003542CB">
        <w:rPr>
          <w:rFonts w:cstheme="minorHAnsi"/>
          <w:color w:val="000000" w:themeColor="text1"/>
          <w:sz w:val="24"/>
        </w:rPr>
        <w:t xml:space="preserve">v oblastech, které mají vliv na rizikovou expozici Pojišťovny a </w:t>
      </w:r>
      <w:r w:rsidR="00BB5172" w:rsidRPr="003542CB">
        <w:rPr>
          <w:rFonts w:cstheme="minorHAnsi"/>
          <w:color w:val="000000" w:themeColor="text1"/>
          <w:sz w:val="24"/>
        </w:rPr>
        <w:t>jsou provedeny v rámci každé uvažované změny, která by mohla mít vliv na změnu v rizikovém profilu Pojišťovny. Samotný proces vlastního posouzení rizik je prováděn minimálně jednou ročně při aktualizaci katalogu rizik. Hodnocení solventnosti je prováděno čtvrtletně</w:t>
      </w:r>
      <w:r w:rsidR="008B6F88" w:rsidRPr="003542CB">
        <w:rPr>
          <w:rFonts w:cstheme="minorHAnsi"/>
          <w:color w:val="000000" w:themeColor="text1"/>
          <w:sz w:val="24"/>
        </w:rPr>
        <w:t xml:space="preserve"> na základě poměru použitelného kapitálu ke splnění MCR a samotné výše MCR, které je na úrovni legislativou stanovené absolutní dolní meze.</w:t>
      </w:r>
    </w:p>
    <w:p w14:paraId="6F5ED092" w14:textId="77777777" w:rsidR="00875A22" w:rsidRPr="003542CB" w:rsidRDefault="00875A22" w:rsidP="00E3584D">
      <w:pPr>
        <w:spacing w:line="280" w:lineRule="atLeast"/>
        <w:jc w:val="both"/>
        <w:rPr>
          <w:rFonts w:cstheme="minorHAnsi"/>
          <w:color w:val="000000" w:themeColor="text1"/>
          <w:sz w:val="24"/>
          <w:szCs w:val="24"/>
        </w:rPr>
      </w:pPr>
    </w:p>
    <w:p w14:paraId="23746AF3" w14:textId="77777777" w:rsidR="00AE2B74" w:rsidRPr="003542CB" w:rsidRDefault="00AE2B74" w:rsidP="003B4FAA">
      <w:pPr>
        <w:pStyle w:val="Nadpis1"/>
        <w:spacing w:after="240" w:line="280" w:lineRule="atLeast"/>
        <w:jc w:val="center"/>
        <w:rPr>
          <w:rFonts w:asciiTheme="minorHAnsi" w:hAnsiTheme="minorHAnsi" w:cstheme="minorHAnsi"/>
          <w:b/>
          <w:color w:val="000000" w:themeColor="text1"/>
        </w:rPr>
      </w:pPr>
      <w:bookmarkStart w:id="27" w:name="_Toc75366896"/>
      <w:r w:rsidRPr="003542CB">
        <w:rPr>
          <w:rFonts w:asciiTheme="minorHAnsi" w:hAnsiTheme="minorHAnsi" w:cstheme="minorHAnsi"/>
          <w:b/>
          <w:color w:val="000000" w:themeColor="text1"/>
        </w:rPr>
        <w:t>6. OCEŇOVÁNÍ PRO ÚČELY SOLVENTNOSTI</w:t>
      </w:r>
      <w:bookmarkEnd w:id="27"/>
    </w:p>
    <w:p w14:paraId="1741FAAC" w14:textId="41DD9D02" w:rsidR="00174E67" w:rsidRPr="003B4FAA" w:rsidRDefault="00174E67" w:rsidP="003B4FAA">
      <w:pPr>
        <w:spacing w:line="280" w:lineRule="atLeast"/>
        <w:jc w:val="both"/>
        <w:rPr>
          <w:rFonts w:cstheme="minorHAnsi"/>
          <w:color w:val="000000" w:themeColor="text1"/>
          <w:sz w:val="24"/>
          <w:szCs w:val="24"/>
        </w:rPr>
      </w:pPr>
      <w:r w:rsidRPr="003542CB">
        <w:rPr>
          <w:rFonts w:cstheme="minorHAnsi"/>
          <w:color w:val="000000" w:themeColor="text1"/>
          <w:sz w:val="24"/>
          <w:szCs w:val="24"/>
        </w:rPr>
        <w:t>Oceňování aktiv a závazků, stejně tak jako výpočet technických rezerv je dlouhodobě neměnný a v čase stálý. V průběhu sledovaného období nebyly v metodikách a postupech oceňování provedeny žádné změny a ty se tak dále řídí podle pravidel interních předpisů.</w:t>
      </w:r>
    </w:p>
    <w:p w14:paraId="593A5985" w14:textId="77777777" w:rsidR="0064614B" w:rsidRPr="003542CB" w:rsidRDefault="0064614B" w:rsidP="003B4FAA">
      <w:pPr>
        <w:pStyle w:val="Nadpis2"/>
        <w:spacing w:after="120" w:line="280" w:lineRule="atLeast"/>
        <w:rPr>
          <w:rFonts w:asciiTheme="minorHAnsi" w:hAnsiTheme="minorHAnsi" w:cstheme="minorHAnsi"/>
          <w:b/>
          <w:color w:val="000000" w:themeColor="text1"/>
        </w:rPr>
      </w:pPr>
      <w:bookmarkStart w:id="28" w:name="_Toc75366897"/>
      <w:r w:rsidRPr="003542CB">
        <w:rPr>
          <w:rFonts w:asciiTheme="minorHAnsi" w:hAnsiTheme="minorHAnsi" w:cstheme="minorHAnsi"/>
          <w:b/>
          <w:color w:val="000000" w:themeColor="text1"/>
        </w:rPr>
        <w:lastRenderedPageBreak/>
        <w:t>6.1. Aktiva</w:t>
      </w:r>
      <w:bookmarkEnd w:id="28"/>
    </w:p>
    <w:p w14:paraId="001DACFC" w14:textId="1C8210B0" w:rsidR="005D30E7" w:rsidRPr="003542CB" w:rsidRDefault="001739CC"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Pojišťovna</w:t>
      </w:r>
      <w:r w:rsidR="0064614B" w:rsidRPr="003542CB">
        <w:rPr>
          <w:rFonts w:cstheme="minorHAnsi"/>
          <w:color w:val="000000" w:themeColor="text1"/>
          <w:sz w:val="24"/>
          <w:szCs w:val="24"/>
        </w:rPr>
        <w:t xml:space="preserve"> má aktiva v celkové výši </w:t>
      </w:r>
      <w:r w:rsidR="005D30E7" w:rsidRPr="003542CB">
        <w:rPr>
          <w:rFonts w:cstheme="minorHAnsi"/>
          <w:color w:val="000000" w:themeColor="text1"/>
          <w:sz w:val="24"/>
          <w:szCs w:val="24"/>
        </w:rPr>
        <w:t>1</w:t>
      </w:r>
      <w:r w:rsidR="004D6EBD" w:rsidRPr="003542CB">
        <w:rPr>
          <w:rFonts w:cstheme="minorHAnsi"/>
          <w:color w:val="000000" w:themeColor="text1"/>
          <w:sz w:val="24"/>
          <w:szCs w:val="24"/>
        </w:rPr>
        <w:t>81</w:t>
      </w:r>
      <w:r w:rsidR="005D30E7" w:rsidRPr="003542CB">
        <w:rPr>
          <w:rFonts w:cstheme="minorHAnsi"/>
          <w:color w:val="000000" w:themeColor="text1"/>
          <w:sz w:val="24"/>
          <w:szCs w:val="24"/>
        </w:rPr>
        <w:t xml:space="preserve"> </w:t>
      </w:r>
      <w:r w:rsidR="00683D81" w:rsidRPr="003542CB">
        <w:rPr>
          <w:rFonts w:cstheme="minorHAnsi"/>
          <w:color w:val="000000" w:themeColor="text1"/>
          <w:sz w:val="24"/>
          <w:szCs w:val="24"/>
        </w:rPr>
        <w:t>0</w:t>
      </w:r>
      <w:r w:rsidR="004D6EBD" w:rsidRPr="003542CB">
        <w:rPr>
          <w:rFonts w:cstheme="minorHAnsi"/>
          <w:color w:val="000000" w:themeColor="text1"/>
          <w:sz w:val="24"/>
          <w:szCs w:val="24"/>
        </w:rPr>
        <w:t>91</w:t>
      </w:r>
      <w:r w:rsidR="00E157BD" w:rsidRPr="003542CB">
        <w:rPr>
          <w:rFonts w:cstheme="minorHAnsi"/>
          <w:color w:val="000000" w:themeColor="text1"/>
          <w:sz w:val="24"/>
          <w:szCs w:val="24"/>
        </w:rPr>
        <w:t xml:space="preserve"> tis. </w:t>
      </w:r>
      <w:r w:rsidR="0064614B" w:rsidRPr="003542CB">
        <w:rPr>
          <w:rFonts w:cstheme="minorHAnsi"/>
          <w:color w:val="000000" w:themeColor="text1"/>
          <w:sz w:val="24"/>
          <w:szCs w:val="24"/>
        </w:rPr>
        <w:t xml:space="preserve">Kč. Oceňování aktiv pro účetní závěrku i pro účely </w:t>
      </w:r>
      <w:proofErr w:type="spellStart"/>
      <w:r w:rsidR="00BD2D0B" w:rsidRPr="003542CB">
        <w:rPr>
          <w:rFonts w:cstheme="minorHAnsi"/>
          <w:color w:val="000000" w:themeColor="text1"/>
          <w:sz w:val="24"/>
          <w:szCs w:val="24"/>
        </w:rPr>
        <w:t>Solvency</w:t>
      </w:r>
      <w:proofErr w:type="spellEnd"/>
      <w:r w:rsidR="0064614B" w:rsidRPr="003542CB">
        <w:rPr>
          <w:rFonts w:cstheme="minorHAnsi"/>
          <w:color w:val="000000" w:themeColor="text1"/>
          <w:sz w:val="24"/>
          <w:szCs w:val="24"/>
        </w:rPr>
        <w:t xml:space="preserve"> II je upraveno interním odborným pokynem. Základní princi</w:t>
      </w:r>
      <w:r w:rsidR="005752A6" w:rsidRPr="003542CB">
        <w:rPr>
          <w:rFonts w:cstheme="minorHAnsi"/>
          <w:color w:val="000000" w:themeColor="text1"/>
          <w:sz w:val="24"/>
          <w:szCs w:val="24"/>
        </w:rPr>
        <w:t>py jsou zobr</w:t>
      </w:r>
      <w:r w:rsidR="005B5174" w:rsidRPr="003542CB">
        <w:rPr>
          <w:rFonts w:cstheme="minorHAnsi"/>
          <w:color w:val="000000" w:themeColor="text1"/>
          <w:sz w:val="24"/>
          <w:szCs w:val="24"/>
        </w:rPr>
        <w:t>azeny v </w:t>
      </w:r>
      <w:r w:rsidR="004B3B3C" w:rsidRPr="003542CB">
        <w:rPr>
          <w:rFonts w:cstheme="minorHAnsi"/>
          <w:color w:val="000000" w:themeColor="text1"/>
          <w:sz w:val="24"/>
          <w:szCs w:val="24"/>
        </w:rPr>
        <w:t xml:space="preserve">tabulce č. </w:t>
      </w:r>
      <w:r w:rsidR="00BB0E50" w:rsidRPr="003542CB">
        <w:rPr>
          <w:rFonts w:cstheme="minorHAnsi"/>
          <w:color w:val="000000" w:themeColor="text1"/>
          <w:sz w:val="24"/>
          <w:szCs w:val="24"/>
        </w:rPr>
        <w:t>4</w:t>
      </w:r>
      <w:r w:rsidR="0064614B" w:rsidRPr="003542CB">
        <w:rPr>
          <w:rFonts w:cstheme="minorHAnsi"/>
          <w:color w:val="000000" w:themeColor="text1"/>
          <w:sz w:val="24"/>
          <w:szCs w:val="24"/>
        </w:rPr>
        <w:t>.</w:t>
      </w:r>
    </w:p>
    <w:p w14:paraId="185F9C1C" w14:textId="12B6C388" w:rsidR="0064614B" w:rsidRPr="003542CB" w:rsidRDefault="004B3B3C"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Tab. č. </w:t>
      </w:r>
      <w:r w:rsidR="00BB0E50" w:rsidRPr="003542CB">
        <w:rPr>
          <w:rFonts w:cstheme="minorHAnsi"/>
          <w:color w:val="000000" w:themeColor="text1"/>
          <w:sz w:val="24"/>
          <w:szCs w:val="24"/>
        </w:rPr>
        <w:t>4</w:t>
      </w:r>
      <w:r w:rsidR="0064614B" w:rsidRPr="003542CB">
        <w:rPr>
          <w:rFonts w:cstheme="minorHAnsi"/>
          <w:color w:val="000000" w:themeColor="text1"/>
          <w:sz w:val="24"/>
          <w:szCs w:val="24"/>
        </w:rPr>
        <w:t xml:space="preserve"> – Přehled ocenění jednotlivých vyskytujících se složek aktiv</w:t>
      </w:r>
    </w:p>
    <w:tbl>
      <w:tblPr>
        <w:tblW w:w="9067" w:type="dxa"/>
        <w:tblCellMar>
          <w:left w:w="70" w:type="dxa"/>
          <w:right w:w="70" w:type="dxa"/>
        </w:tblCellMar>
        <w:tblLook w:val="04A0" w:firstRow="1" w:lastRow="0" w:firstColumn="1" w:lastColumn="0" w:noHBand="0" w:noVBand="1"/>
      </w:tblPr>
      <w:tblGrid>
        <w:gridCol w:w="2835"/>
        <w:gridCol w:w="3681"/>
        <w:gridCol w:w="2551"/>
      </w:tblGrid>
      <w:tr w:rsidR="00331B7E" w:rsidRPr="003542CB" w14:paraId="44B62F3A" w14:textId="77777777" w:rsidTr="00E46118">
        <w:trPr>
          <w:trHeight w:val="45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F49253" w14:textId="77777777" w:rsidR="0064614B" w:rsidRPr="003542CB" w:rsidRDefault="0064614B" w:rsidP="005F04E3">
            <w:pPr>
              <w:spacing w:before="40" w:after="40" w:line="240" w:lineRule="auto"/>
              <w:rPr>
                <w:rFonts w:cstheme="minorHAnsi"/>
                <w:b/>
                <w:bCs/>
                <w:color w:val="000000" w:themeColor="text1"/>
              </w:rPr>
            </w:pPr>
            <w:r w:rsidRPr="003542CB">
              <w:rPr>
                <w:rFonts w:cstheme="minorHAnsi"/>
                <w:b/>
                <w:bCs/>
                <w:color w:val="000000" w:themeColor="text1"/>
              </w:rPr>
              <w:t xml:space="preserve">složky majetku a závazků                          </w:t>
            </w:r>
            <w:proofErr w:type="gramStart"/>
            <w:r w:rsidRPr="003542CB">
              <w:rPr>
                <w:rFonts w:cstheme="minorHAnsi"/>
                <w:b/>
                <w:bCs/>
                <w:color w:val="000000" w:themeColor="text1"/>
              </w:rPr>
              <w:t xml:space="preserve">   (</w:t>
            </w:r>
            <w:proofErr w:type="gramEnd"/>
            <w:r w:rsidRPr="003542CB">
              <w:rPr>
                <w:rFonts w:cstheme="minorHAnsi"/>
                <w:b/>
                <w:bCs/>
                <w:color w:val="000000" w:themeColor="text1"/>
              </w:rPr>
              <w:t>I = investice)</w:t>
            </w:r>
          </w:p>
        </w:tc>
        <w:tc>
          <w:tcPr>
            <w:tcW w:w="623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9E3DD1" w14:textId="77777777" w:rsidR="0064614B" w:rsidRPr="003542CB" w:rsidRDefault="0064614B" w:rsidP="005F04E3">
            <w:pPr>
              <w:spacing w:before="40" w:after="40" w:line="240" w:lineRule="auto"/>
              <w:rPr>
                <w:rFonts w:cstheme="minorHAnsi"/>
                <w:b/>
                <w:bCs/>
                <w:color w:val="000000" w:themeColor="text1"/>
              </w:rPr>
            </w:pPr>
            <w:r w:rsidRPr="003542CB">
              <w:rPr>
                <w:rFonts w:cstheme="minorHAnsi"/>
                <w:b/>
                <w:bCs/>
                <w:color w:val="000000" w:themeColor="text1"/>
              </w:rPr>
              <w:t xml:space="preserve">ocenění = </w:t>
            </w:r>
            <w:proofErr w:type="gramStart"/>
            <w:r w:rsidRPr="003542CB">
              <w:rPr>
                <w:rFonts w:cstheme="minorHAnsi"/>
                <w:b/>
                <w:bCs/>
                <w:color w:val="000000" w:themeColor="text1"/>
              </w:rPr>
              <w:t>brutto - korekce</w:t>
            </w:r>
            <w:proofErr w:type="gramEnd"/>
            <w:r w:rsidRPr="003542CB">
              <w:rPr>
                <w:rFonts w:cstheme="minorHAnsi"/>
                <w:b/>
                <w:bCs/>
                <w:color w:val="000000" w:themeColor="text1"/>
              </w:rPr>
              <w:t xml:space="preserve">                                                                                                             ocenění = historická cena                                                                           + / - přímá úprava ocenění - korekce</w:t>
            </w:r>
          </w:p>
        </w:tc>
      </w:tr>
      <w:tr w:rsidR="00331B7E" w:rsidRPr="003542CB" w14:paraId="39290DD8" w14:textId="77777777" w:rsidTr="00E46118">
        <w:trPr>
          <w:trHeight w:val="45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C3E95AB" w14:textId="77777777" w:rsidR="0064614B" w:rsidRPr="003542CB" w:rsidRDefault="0064614B" w:rsidP="005F04E3">
            <w:pPr>
              <w:spacing w:before="40" w:after="40" w:line="240" w:lineRule="auto"/>
              <w:rPr>
                <w:rFonts w:cstheme="minorHAnsi"/>
                <w:b/>
                <w:bCs/>
                <w:color w:val="000000" w:themeColor="text1"/>
              </w:rPr>
            </w:pPr>
          </w:p>
        </w:tc>
        <w:tc>
          <w:tcPr>
            <w:tcW w:w="6232" w:type="dxa"/>
            <w:gridSpan w:val="2"/>
            <w:vMerge/>
            <w:tcBorders>
              <w:top w:val="single" w:sz="4" w:space="0" w:color="auto"/>
              <w:left w:val="single" w:sz="4" w:space="0" w:color="auto"/>
              <w:bottom w:val="single" w:sz="4" w:space="0" w:color="auto"/>
              <w:right w:val="single" w:sz="4" w:space="0" w:color="auto"/>
            </w:tcBorders>
            <w:vAlign w:val="center"/>
            <w:hideMark/>
          </w:tcPr>
          <w:p w14:paraId="2800938B" w14:textId="77777777" w:rsidR="0064614B" w:rsidRPr="003542CB" w:rsidRDefault="0064614B" w:rsidP="005F04E3">
            <w:pPr>
              <w:spacing w:before="40" w:after="40" w:line="240" w:lineRule="auto"/>
              <w:rPr>
                <w:rFonts w:cstheme="minorHAnsi"/>
                <w:b/>
                <w:bCs/>
                <w:color w:val="000000" w:themeColor="text1"/>
              </w:rPr>
            </w:pPr>
          </w:p>
        </w:tc>
      </w:tr>
      <w:tr w:rsidR="00331B7E" w:rsidRPr="003542CB" w14:paraId="216312E2" w14:textId="77777777" w:rsidTr="00E46118">
        <w:trPr>
          <w:trHeight w:val="6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704E2D8" w14:textId="77777777" w:rsidR="0064614B" w:rsidRPr="003542CB" w:rsidRDefault="0064614B" w:rsidP="005F04E3">
            <w:pPr>
              <w:spacing w:before="40" w:after="40" w:line="240" w:lineRule="auto"/>
              <w:rPr>
                <w:rFonts w:cstheme="minorHAnsi"/>
                <w:b/>
                <w:bCs/>
                <w:color w:val="000000" w:themeColor="text1"/>
              </w:rPr>
            </w:pPr>
          </w:p>
        </w:tc>
        <w:tc>
          <w:tcPr>
            <w:tcW w:w="3681" w:type="dxa"/>
            <w:tcBorders>
              <w:top w:val="nil"/>
              <w:left w:val="nil"/>
              <w:bottom w:val="single" w:sz="4" w:space="0" w:color="auto"/>
              <w:right w:val="single" w:sz="4" w:space="0" w:color="auto"/>
            </w:tcBorders>
            <w:shd w:val="clear" w:color="000000" w:fill="D9D9D9"/>
            <w:vAlign w:val="bottom"/>
            <w:hideMark/>
          </w:tcPr>
          <w:p w14:paraId="117F6E56" w14:textId="77777777" w:rsidR="0064614B" w:rsidRPr="003542CB" w:rsidRDefault="0064614B" w:rsidP="005F04E3">
            <w:pPr>
              <w:spacing w:before="40" w:after="40" w:line="240" w:lineRule="auto"/>
              <w:rPr>
                <w:rFonts w:cstheme="minorHAnsi"/>
                <w:b/>
                <w:bCs/>
                <w:color w:val="000000" w:themeColor="text1"/>
              </w:rPr>
            </w:pPr>
            <w:r w:rsidRPr="003542CB">
              <w:rPr>
                <w:rFonts w:cstheme="minorHAnsi"/>
                <w:b/>
                <w:bCs/>
                <w:color w:val="000000" w:themeColor="text1"/>
              </w:rPr>
              <w:t>brutto = historická cena                                 +/- přímá úprava ocenění</w:t>
            </w:r>
          </w:p>
        </w:tc>
        <w:tc>
          <w:tcPr>
            <w:tcW w:w="2551" w:type="dxa"/>
            <w:tcBorders>
              <w:top w:val="nil"/>
              <w:left w:val="nil"/>
              <w:bottom w:val="single" w:sz="4" w:space="0" w:color="auto"/>
              <w:right w:val="single" w:sz="4" w:space="0" w:color="auto"/>
            </w:tcBorders>
            <w:shd w:val="clear" w:color="000000" w:fill="D9D9D9"/>
            <w:vAlign w:val="bottom"/>
            <w:hideMark/>
          </w:tcPr>
          <w:p w14:paraId="60B88214" w14:textId="77777777" w:rsidR="0064614B" w:rsidRPr="003542CB" w:rsidRDefault="0064614B" w:rsidP="005F04E3">
            <w:pPr>
              <w:spacing w:before="40" w:after="40" w:line="240" w:lineRule="auto"/>
              <w:rPr>
                <w:rFonts w:cstheme="minorHAnsi"/>
                <w:b/>
                <w:bCs/>
                <w:color w:val="000000" w:themeColor="text1"/>
              </w:rPr>
            </w:pPr>
            <w:r w:rsidRPr="003542CB">
              <w:rPr>
                <w:rFonts w:cstheme="minorHAnsi"/>
                <w:b/>
                <w:bCs/>
                <w:color w:val="000000" w:themeColor="text1"/>
              </w:rPr>
              <w:t>korekce</w:t>
            </w:r>
          </w:p>
        </w:tc>
      </w:tr>
      <w:tr w:rsidR="00331B7E" w:rsidRPr="003542CB" w14:paraId="23E9FE61" w14:textId="77777777" w:rsidTr="00E46118">
        <w:trPr>
          <w:trHeight w:val="37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0D824DE"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nehmotný majetek kromě pohledávek</w:t>
            </w:r>
          </w:p>
        </w:tc>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14:paraId="2F0B3E67"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pořizovací cena, vlastní náklady</w:t>
            </w:r>
          </w:p>
        </w:tc>
        <w:tc>
          <w:tcPr>
            <w:tcW w:w="2551" w:type="dxa"/>
            <w:tcBorders>
              <w:top w:val="nil"/>
              <w:left w:val="nil"/>
              <w:bottom w:val="single" w:sz="4" w:space="0" w:color="auto"/>
              <w:right w:val="single" w:sz="4" w:space="0" w:color="auto"/>
            </w:tcBorders>
            <w:shd w:val="clear" w:color="auto" w:fill="auto"/>
            <w:vAlign w:val="center"/>
            <w:hideMark/>
          </w:tcPr>
          <w:p w14:paraId="5D65C2AB"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oprávky (odpisy) </w:t>
            </w:r>
          </w:p>
        </w:tc>
      </w:tr>
      <w:tr w:rsidR="00331B7E" w:rsidRPr="003542CB" w14:paraId="369164E6" w14:textId="77777777" w:rsidTr="00E46118">
        <w:trPr>
          <w:trHeight w:val="375"/>
        </w:trPr>
        <w:tc>
          <w:tcPr>
            <w:tcW w:w="2835" w:type="dxa"/>
            <w:vMerge/>
            <w:tcBorders>
              <w:top w:val="nil"/>
              <w:left w:val="single" w:sz="4" w:space="0" w:color="auto"/>
              <w:bottom w:val="single" w:sz="4" w:space="0" w:color="auto"/>
              <w:right w:val="single" w:sz="4" w:space="0" w:color="auto"/>
            </w:tcBorders>
            <w:vAlign w:val="center"/>
            <w:hideMark/>
          </w:tcPr>
          <w:p w14:paraId="62D08410" w14:textId="77777777" w:rsidR="0064614B" w:rsidRPr="003542CB" w:rsidRDefault="0064614B" w:rsidP="005F04E3">
            <w:pPr>
              <w:spacing w:before="40" w:after="40" w:line="240" w:lineRule="auto"/>
              <w:rPr>
                <w:rFonts w:cstheme="minorHAnsi"/>
                <w:color w:val="000000" w:themeColor="text1"/>
              </w:rPr>
            </w:pPr>
          </w:p>
        </w:tc>
        <w:tc>
          <w:tcPr>
            <w:tcW w:w="3681" w:type="dxa"/>
            <w:vMerge/>
            <w:tcBorders>
              <w:top w:val="nil"/>
              <w:left w:val="single" w:sz="4" w:space="0" w:color="auto"/>
              <w:bottom w:val="single" w:sz="4" w:space="0" w:color="auto"/>
              <w:right w:val="single" w:sz="4" w:space="0" w:color="auto"/>
            </w:tcBorders>
            <w:vAlign w:val="center"/>
            <w:hideMark/>
          </w:tcPr>
          <w:p w14:paraId="746735D2" w14:textId="77777777" w:rsidR="0064614B" w:rsidRPr="003542CB" w:rsidRDefault="0064614B" w:rsidP="005F04E3">
            <w:pPr>
              <w:spacing w:before="40" w:after="40" w:line="240" w:lineRule="auto"/>
              <w:rPr>
                <w:rFonts w:cstheme="minorHAnsi"/>
                <w:color w:val="000000" w:themeColor="text1"/>
              </w:rPr>
            </w:pPr>
          </w:p>
        </w:tc>
        <w:tc>
          <w:tcPr>
            <w:tcW w:w="2551" w:type="dxa"/>
            <w:tcBorders>
              <w:top w:val="nil"/>
              <w:left w:val="nil"/>
              <w:bottom w:val="single" w:sz="4" w:space="0" w:color="auto"/>
              <w:right w:val="single" w:sz="4" w:space="0" w:color="auto"/>
            </w:tcBorders>
            <w:shd w:val="clear" w:color="auto" w:fill="auto"/>
            <w:vAlign w:val="center"/>
            <w:hideMark/>
          </w:tcPr>
          <w:p w14:paraId="3688BB97"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459C7668" w14:textId="77777777" w:rsidTr="00E46118">
        <w:trPr>
          <w:trHeight w:val="114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2D8AB9E"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xml:space="preserve">I – dluhopisy OECD držené do splatnosti a neurčené k obchodování </w:t>
            </w:r>
          </w:p>
        </w:tc>
        <w:tc>
          <w:tcPr>
            <w:tcW w:w="3681" w:type="dxa"/>
            <w:tcBorders>
              <w:top w:val="nil"/>
              <w:left w:val="nil"/>
              <w:bottom w:val="single" w:sz="4" w:space="0" w:color="auto"/>
              <w:right w:val="single" w:sz="4" w:space="0" w:color="auto"/>
            </w:tcBorders>
            <w:shd w:val="clear" w:color="auto" w:fill="auto"/>
            <w:vAlign w:val="center"/>
            <w:hideMark/>
          </w:tcPr>
          <w:p w14:paraId="4D3C7AA1"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pořizovací cena = jmenovitá hodnota    + / - diskont / prémie při pořízení                    + naběhlý AÚV při pořízení</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24394F1B"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19374098" w14:textId="77777777" w:rsidTr="00E46118">
        <w:trPr>
          <w:trHeight w:val="375"/>
        </w:trPr>
        <w:tc>
          <w:tcPr>
            <w:tcW w:w="2835" w:type="dxa"/>
            <w:vMerge/>
            <w:tcBorders>
              <w:top w:val="nil"/>
              <w:left w:val="single" w:sz="4" w:space="0" w:color="auto"/>
              <w:bottom w:val="single" w:sz="4" w:space="0" w:color="auto"/>
              <w:right w:val="single" w:sz="4" w:space="0" w:color="auto"/>
            </w:tcBorders>
            <w:vAlign w:val="center"/>
            <w:hideMark/>
          </w:tcPr>
          <w:p w14:paraId="1E774515" w14:textId="77777777" w:rsidR="0064614B" w:rsidRPr="003542CB" w:rsidRDefault="0064614B" w:rsidP="005F04E3">
            <w:pPr>
              <w:spacing w:before="40" w:after="40" w:line="240" w:lineRule="auto"/>
              <w:rPr>
                <w:rFonts w:cstheme="minorHAnsi"/>
                <w:color w:val="000000" w:themeColor="text1"/>
              </w:rPr>
            </w:pPr>
          </w:p>
        </w:tc>
        <w:tc>
          <w:tcPr>
            <w:tcW w:w="3681" w:type="dxa"/>
            <w:tcBorders>
              <w:top w:val="nil"/>
              <w:left w:val="nil"/>
              <w:bottom w:val="single" w:sz="4" w:space="0" w:color="auto"/>
              <w:right w:val="single" w:sz="4" w:space="0" w:color="auto"/>
            </w:tcBorders>
            <w:shd w:val="clear" w:color="auto" w:fill="auto"/>
            <w:vAlign w:val="center"/>
            <w:hideMark/>
          </w:tcPr>
          <w:p w14:paraId="60A1ED2D"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 zúčtování diskontu / prémie</w:t>
            </w:r>
          </w:p>
        </w:tc>
        <w:tc>
          <w:tcPr>
            <w:tcW w:w="2551" w:type="dxa"/>
            <w:vMerge/>
            <w:tcBorders>
              <w:top w:val="nil"/>
              <w:left w:val="single" w:sz="4" w:space="0" w:color="auto"/>
              <w:bottom w:val="single" w:sz="4" w:space="0" w:color="auto"/>
              <w:right w:val="single" w:sz="4" w:space="0" w:color="auto"/>
            </w:tcBorders>
            <w:vAlign w:val="center"/>
            <w:hideMark/>
          </w:tcPr>
          <w:p w14:paraId="3F14BA2E" w14:textId="77777777" w:rsidR="0064614B" w:rsidRPr="003542CB" w:rsidRDefault="0064614B" w:rsidP="005F04E3">
            <w:pPr>
              <w:spacing w:before="40" w:after="40" w:line="240" w:lineRule="auto"/>
              <w:rPr>
                <w:rFonts w:cstheme="minorHAnsi"/>
                <w:color w:val="000000" w:themeColor="text1"/>
              </w:rPr>
            </w:pPr>
          </w:p>
        </w:tc>
      </w:tr>
      <w:tr w:rsidR="00331B7E" w:rsidRPr="003542CB" w14:paraId="04329B38" w14:textId="77777777" w:rsidTr="00E46118">
        <w:trPr>
          <w:trHeight w:val="570"/>
        </w:trPr>
        <w:tc>
          <w:tcPr>
            <w:tcW w:w="2835" w:type="dxa"/>
            <w:vMerge/>
            <w:tcBorders>
              <w:top w:val="nil"/>
              <w:left w:val="single" w:sz="4" w:space="0" w:color="auto"/>
              <w:bottom w:val="single" w:sz="4" w:space="0" w:color="auto"/>
              <w:right w:val="single" w:sz="4" w:space="0" w:color="auto"/>
            </w:tcBorders>
            <w:vAlign w:val="center"/>
            <w:hideMark/>
          </w:tcPr>
          <w:p w14:paraId="77B5BE70" w14:textId="77777777" w:rsidR="0064614B" w:rsidRPr="003542CB" w:rsidRDefault="0064614B" w:rsidP="005F04E3">
            <w:pPr>
              <w:spacing w:before="40" w:after="40" w:line="240" w:lineRule="auto"/>
              <w:rPr>
                <w:rFonts w:cstheme="minorHAnsi"/>
                <w:color w:val="000000" w:themeColor="text1"/>
              </w:rPr>
            </w:pPr>
          </w:p>
        </w:tc>
        <w:tc>
          <w:tcPr>
            <w:tcW w:w="3681" w:type="dxa"/>
            <w:tcBorders>
              <w:top w:val="nil"/>
              <w:left w:val="nil"/>
              <w:bottom w:val="single" w:sz="4" w:space="0" w:color="auto"/>
              <w:right w:val="single" w:sz="4" w:space="0" w:color="auto"/>
            </w:tcBorders>
            <w:shd w:val="clear" w:color="auto" w:fill="auto"/>
            <w:vAlign w:val="center"/>
            <w:hideMark/>
          </w:tcPr>
          <w:p w14:paraId="1257C9DF"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AÚV naběhlý za dobu držby                           - AÚV vyplacený</w:t>
            </w:r>
          </w:p>
        </w:tc>
        <w:tc>
          <w:tcPr>
            <w:tcW w:w="2551" w:type="dxa"/>
            <w:vMerge/>
            <w:tcBorders>
              <w:top w:val="nil"/>
              <w:left w:val="single" w:sz="4" w:space="0" w:color="auto"/>
              <w:bottom w:val="single" w:sz="4" w:space="0" w:color="auto"/>
              <w:right w:val="single" w:sz="4" w:space="0" w:color="auto"/>
            </w:tcBorders>
            <w:vAlign w:val="center"/>
            <w:hideMark/>
          </w:tcPr>
          <w:p w14:paraId="4CE83B2A" w14:textId="77777777" w:rsidR="0064614B" w:rsidRPr="003542CB" w:rsidRDefault="0064614B" w:rsidP="005F04E3">
            <w:pPr>
              <w:spacing w:before="40" w:after="40" w:line="240" w:lineRule="auto"/>
              <w:rPr>
                <w:rFonts w:cstheme="minorHAnsi"/>
                <w:color w:val="000000" w:themeColor="text1"/>
              </w:rPr>
            </w:pPr>
          </w:p>
        </w:tc>
      </w:tr>
      <w:tr w:rsidR="00331B7E" w:rsidRPr="003542CB" w14:paraId="4485322A"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4796878" w14:textId="77777777" w:rsidR="0064614B" w:rsidRPr="003542CB" w:rsidRDefault="0064614B" w:rsidP="005F04E3">
            <w:pPr>
              <w:spacing w:before="40" w:after="40" w:line="240" w:lineRule="auto"/>
              <w:rPr>
                <w:rFonts w:cstheme="minorHAnsi"/>
                <w:color w:val="000000" w:themeColor="text1"/>
              </w:rPr>
            </w:pPr>
            <w:proofErr w:type="gramStart"/>
            <w:r w:rsidRPr="003542CB">
              <w:rPr>
                <w:rFonts w:cstheme="minorHAnsi"/>
                <w:color w:val="000000" w:themeColor="text1"/>
              </w:rPr>
              <w:t>I - peněžní</w:t>
            </w:r>
            <w:proofErr w:type="gramEnd"/>
            <w:r w:rsidRPr="003542CB">
              <w:rPr>
                <w:rFonts w:cstheme="minorHAnsi"/>
                <w:color w:val="000000" w:themeColor="text1"/>
              </w:rPr>
              <w:t xml:space="preserve"> prostředky - vklady</w:t>
            </w:r>
          </w:p>
        </w:tc>
        <w:tc>
          <w:tcPr>
            <w:tcW w:w="3681" w:type="dxa"/>
            <w:tcBorders>
              <w:top w:val="nil"/>
              <w:left w:val="nil"/>
              <w:bottom w:val="single" w:sz="4" w:space="0" w:color="auto"/>
              <w:right w:val="single" w:sz="4" w:space="0" w:color="auto"/>
            </w:tcBorders>
            <w:shd w:val="clear" w:color="auto" w:fill="auto"/>
            <w:vAlign w:val="bottom"/>
            <w:hideMark/>
          </w:tcPr>
          <w:p w14:paraId="60A9951D"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jmenovitá hodnota</w:t>
            </w:r>
          </w:p>
        </w:tc>
        <w:tc>
          <w:tcPr>
            <w:tcW w:w="2551" w:type="dxa"/>
            <w:tcBorders>
              <w:top w:val="nil"/>
              <w:left w:val="nil"/>
              <w:bottom w:val="single" w:sz="4" w:space="0" w:color="auto"/>
              <w:right w:val="single" w:sz="4" w:space="0" w:color="auto"/>
            </w:tcBorders>
            <w:shd w:val="clear" w:color="auto" w:fill="auto"/>
            <w:vAlign w:val="bottom"/>
            <w:hideMark/>
          </w:tcPr>
          <w:p w14:paraId="64CA6B59"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4CF946F1" w14:textId="77777777" w:rsidTr="00E46118">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4E24043"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ostatní hmotný majetek</w:t>
            </w:r>
          </w:p>
        </w:tc>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14:paraId="36C81D5C"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pořizovací cena, vlastní náklady</w:t>
            </w:r>
          </w:p>
        </w:tc>
        <w:tc>
          <w:tcPr>
            <w:tcW w:w="2551" w:type="dxa"/>
            <w:tcBorders>
              <w:top w:val="nil"/>
              <w:left w:val="nil"/>
              <w:bottom w:val="single" w:sz="4" w:space="0" w:color="auto"/>
              <w:right w:val="single" w:sz="4" w:space="0" w:color="auto"/>
            </w:tcBorders>
            <w:shd w:val="clear" w:color="auto" w:fill="auto"/>
            <w:vAlign w:val="center"/>
            <w:hideMark/>
          </w:tcPr>
          <w:p w14:paraId="361B3627"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oprávky (odpisy) </w:t>
            </w:r>
          </w:p>
        </w:tc>
      </w:tr>
      <w:tr w:rsidR="00331B7E" w:rsidRPr="003542CB" w14:paraId="5649A2C2" w14:textId="77777777" w:rsidTr="00E46118">
        <w:trPr>
          <w:trHeight w:val="300"/>
        </w:trPr>
        <w:tc>
          <w:tcPr>
            <w:tcW w:w="2835" w:type="dxa"/>
            <w:vMerge/>
            <w:tcBorders>
              <w:top w:val="nil"/>
              <w:left w:val="single" w:sz="4" w:space="0" w:color="auto"/>
              <w:bottom w:val="single" w:sz="4" w:space="0" w:color="auto"/>
              <w:right w:val="single" w:sz="4" w:space="0" w:color="auto"/>
            </w:tcBorders>
            <w:vAlign w:val="center"/>
            <w:hideMark/>
          </w:tcPr>
          <w:p w14:paraId="12235E0D" w14:textId="77777777" w:rsidR="0064614B" w:rsidRPr="003542CB" w:rsidRDefault="0064614B" w:rsidP="005F04E3">
            <w:pPr>
              <w:spacing w:before="40" w:after="40" w:line="240" w:lineRule="auto"/>
              <w:rPr>
                <w:rFonts w:cstheme="minorHAnsi"/>
                <w:color w:val="000000" w:themeColor="text1"/>
              </w:rPr>
            </w:pPr>
          </w:p>
        </w:tc>
        <w:tc>
          <w:tcPr>
            <w:tcW w:w="3681" w:type="dxa"/>
            <w:vMerge/>
            <w:tcBorders>
              <w:top w:val="nil"/>
              <w:left w:val="single" w:sz="4" w:space="0" w:color="auto"/>
              <w:bottom w:val="single" w:sz="4" w:space="0" w:color="auto"/>
              <w:right w:val="single" w:sz="4" w:space="0" w:color="auto"/>
            </w:tcBorders>
            <w:vAlign w:val="center"/>
            <w:hideMark/>
          </w:tcPr>
          <w:p w14:paraId="71DBCBAC" w14:textId="77777777" w:rsidR="0064614B" w:rsidRPr="003542CB" w:rsidRDefault="0064614B" w:rsidP="005F04E3">
            <w:pPr>
              <w:spacing w:before="40" w:after="40" w:line="240" w:lineRule="auto"/>
              <w:rPr>
                <w:rFonts w:cstheme="minorHAnsi"/>
                <w:color w:val="000000" w:themeColor="text1"/>
              </w:rPr>
            </w:pPr>
          </w:p>
        </w:tc>
        <w:tc>
          <w:tcPr>
            <w:tcW w:w="2551" w:type="dxa"/>
            <w:tcBorders>
              <w:top w:val="nil"/>
              <w:left w:val="nil"/>
              <w:bottom w:val="single" w:sz="4" w:space="0" w:color="auto"/>
              <w:right w:val="single" w:sz="4" w:space="0" w:color="auto"/>
            </w:tcBorders>
            <w:shd w:val="clear" w:color="auto" w:fill="auto"/>
            <w:vAlign w:val="bottom"/>
            <w:hideMark/>
          </w:tcPr>
          <w:p w14:paraId="1821731B"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43C1FF84"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61F5BF0C"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ostatní peněžní prostředky a ceniny</w:t>
            </w:r>
          </w:p>
        </w:tc>
        <w:tc>
          <w:tcPr>
            <w:tcW w:w="3681" w:type="dxa"/>
            <w:tcBorders>
              <w:top w:val="nil"/>
              <w:left w:val="nil"/>
              <w:bottom w:val="single" w:sz="4" w:space="0" w:color="auto"/>
              <w:right w:val="single" w:sz="4" w:space="0" w:color="auto"/>
            </w:tcBorders>
            <w:shd w:val="clear" w:color="auto" w:fill="auto"/>
            <w:vAlign w:val="bottom"/>
            <w:hideMark/>
          </w:tcPr>
          <w:p w14:paraId="2BAF0FA5"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jmenovitá hodnota</w:t>
            </w:r>
          </w:p>
        </w:tc>
        <w:tc>
          <w:tcPr>
            <w:tcW w:w="2551" w:type="dxa"/>
            <w:tcBorders>
              <w:top w:val="nil"/>
              <w:left w:val="nil"/>
              <w:bottom w:val="single" w:sz="4" w:space="0" w:color="auto"/>
              <w:right w:val="single" w:sz="4" w:space="0" w:color="auto"/>
            </w:tcBorders>
            <w:shd w:val="clear" w:color="auto" w:fill="auto"/>
            <w:vAlign w:val="bottom"/>
            <w:hideMark/>
          </w:tcPr>
          <w:p w14:paraId="75F7F013"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6F283BC9"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474331D"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pohledávky krátkodobé</w:t>
            </w:r>
          </w:p>
        </w:tc>
        <w:tc>
          <w:tcPr>
            <w:tcW w:w="3681" w:type="dxa"/>
            <w:tcBorders>
              <w:top w:val="nil"/>
              <w:left w:val="nil"/>
              <w:bottom w:val="single" w:sz="4" w:space="0" w:color="auto"/>
              <w:right w:val="single" w:sz="4" w:space="0" w:color="auto"/>
            </w:tcBorders>
            <w:shd w:val="clear" w:color="auto" w:fill="auto"/>
            <w:vAlign w:val="bottom"/>
            <w:hideMark/>
          </w:tcPr>
          <w:p w14:paraId="78D98FF0"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xml:space="preserve">jmenovitá hodnota, pořizovací cena </w:t>
            </w:r>
          </w:p>
        </w:tc>
        <w:tc>
          <w:tcPr>
            <w:tcW w:w="2551" w:type="dxa"/>
            <w:tcBorders>
              <w:top w:val="nil"/>
              <w:left w:val="nil"/>
              <w:bottom w:val="single" w:sz="4" w:space="0" w:color="auto"/>
              <w:right w:val="single" w:sz="4" w:space="0" w:color="auto"/>
            </w:tcBorders>
            <w:shd w:val="clear" w:color="auto" w:fill="auto"/>
            <w:vAlign w:val="bottom"/>
            <w:hideMark/>
          </w:tcPr>
          <w:p w14:paraId="4D73D110"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softHyphen/>
              <w:t xml:space="preserve"> opravné položky</w:t>
            </w:r>
          </w:p>
        </w:tc>
      </w:tr>
      <w:tr w:rsidR="00331B7E" w:rsidRPr="003542CB" w14:paraId="5564C472"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58A7A37"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ostatní aktiva krátkodobá</w:t>
            </w:r>
          </w:p>
        </w:tc>
        <w:tc>
          <w:tcPr>
            <w:tcW w:w="3681" w:type="dxa"/>
            <w:tcBorders>
              <w:top w:val="nil"/>
              <w:left w:val="nil"/>
              <w:bottom w:val="single" w:sz="4" w:space="0" w:color="auto"/>
              <w:right w:val="single" w:sz="4" w:space="0" w:color="auto"/>
            </w:tcBorders>
            <w:shd w:val="clear" w:color="auto" w:fill="auto"/>
            <w:vAlign w:val="bottom"/>
            <w:hideMark/>
          </w:tcPr>
          <w:p w14:paraId="5C7F74E8"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nejlepší odhad</w:t>
            </w:r>
          </w:p>
        </w:tc>
        <w:tc>
          <w:tcPr>
            <w:tcW w:w="2551" w:type="dxa"/>
            <w:tcBorders>
              <w:top w:val="nil"/>
              <w:left w:val="nil"/>
              <w:bottom w:val="single" w:sz="4" w:space="0" w:color="auto"/>
              <w:right w:val="single" w:sz="4" w:space="0" w:color="auto"/>
            </w:tcBorders>
            <w:shd w:val="clear" w:color="auto" w:fill="auto"/>
            <w:vAlign w:val="bottom"/>
            <w:hideMark/>
          </w:tcPr>
          <w:p w14:paraId="20B4DBE6"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w:t>
            </w:r>
          </w:p>
        </w:tc>
      </w:tr>
      <w:tr w:rsidR="00331B7E" w:rsidRPr="003542CB" w14:paraId="7CBE5784"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5D1249B"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rezervy</w:t>
            </w:r>
          </w:p>
        </w:tc>
        <w:tc>
          <w:tcPr>
            <w:tcW w:w="3681" w:type="dxa"/>
            <w:tcBorders>
              <w:top w:val="nil"/>
              <w:left w:val="nil"/>
              <w:bottom w:val="single" w:sz="4" w:space="0" w:color="auto"/>
              <w:right w:val="single" w:sz="4" w:space="0" w:color="auto"/>
            </w:tcBorders>
            <w:shd w:val="clear" w:color="auto" w:fill="auto"/>
            <w:vAlign w:val="bottom"/>
            <w:hideMark/>
          </w:tcPr>
          <w:p w14:paraId="137603F6"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nejlepší odhad</w:t>
            </w:r>
          </w:p>
        </w:tc>
        <w:tc>
          <w:tcPr>
            <w:tcW w:w="2551" w:type="dxa"/>
            <w:tcBorders>
              <w:top w:val="nil"/>
              <w:left w:val="nil"/>
              <w:bottom w:val="single" w:sz="4" w:space="0" w:color="auto"/>
              <w:right w:val="single" w:sz="4" w:space="0" w:color="auto"/>
            </w:tcBorders>
            <w:shd w:val="clear" w:color="auto" w:fill="auto"/>
            <w:vAlign w:val="bottom"/>
            <w:hideMark/>
          </w:tcPr>
          <w:p w14:paraId="3182A9F1"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w:t>
            </w:r>
          </w:p>
        </w:tc>
      </w:tr>
      <w:tr w:rsidR="00331B7E" w:rsidRPr="003542CB" w14:paraId="6CD9B33E"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D306268"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závazky krátkodobé</w:t>
            </w:r>
          </w:p>
        </w:tc>
        <w:tc>
          <w:tcPr>
            <w:tcW w:w="3681" w:type="dxa"/>
            <w:tcBorders>
              <w:top w:val="nil"/>
              <w:left w:val="nil"/>
              <w:bottom w:val="single" w:sz="4" w:space="0" w:color="auto"/>
              <w:right w:val="single" w:sz="4" w:space="0" w:color="auto"/>
            </w:tcBorders>
            <w:shd w:val="clear" w:color="auto" w:fill="auto"/>
            <w:vAlign w:val="bottom"/>
            <w:hideMark/>
          </w:tcPr>
          <w:p w14:paraId="343C0893"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jmenovitá hodnota</w:t>
            </w:r>
          </w:p>
        </w:tc>
        <w:tc>
          <w:tcPr>
            <w:tcW w:w="2551" w:type="dxa"/>
            <w:tcBorders>
              <w:top w:val="nil"/>
              <w:left w:val="nil"/>
              <w:bottom w:val="single" w:sz="4" w:space="0" w:color="auto"/>
              <w:right w:val="single" w:sz="4" w:space="0" w:color="auto"/>
            </w:tcBorders>
            <w:shd w:val="clear" w:color="auto" w:fill="auto"/>
            <w:vAlign w:val="bottom"/>
            <w:hideMark/>
          </w:tcPr>
          <w:p w14:paraId="7E21AC3E"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w:t>
            </w:r>
          </w:p>
        </w:tc>
      </w:tr>
      <w:tr w:rsidR="00331B7E" w:rsidRPr="003542CB" w14:paraId="778F40A5" w14:textId="77777777" w:rsidTr="00E46118">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6BE40F0"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ostatní pasiva krátkodobá</w:t>
            </w:r>
          </w:p>
        </w:tc>
        <w:tc>
          <w:tcPr>
            <w:tcW w:w="3681" w:type="dxa"/>
            <w:tcBorders>
              <w:top w:val="nil"/>
              <w:left w:val="nil"/>
              <w:bottom w:val="single" w:sz="4" w:space="0" w:color="auto"/>
              <w:right w:val="single" w:sz="4" w:space="0" w:color="auto"/>
            </w:tcBorders>
            <w:shd w:val="clear" w:color="auto" w:fill="auto"/>
            <w:vAlign w:val="bottom"/>
            <w:hideMark/>
          </w:tcPr>
          <w:p w14:paraId="7BCE3B48"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nejlepší odhad</w:t>
            </w:r>
          </w:p>
        </w:tc>
        <w:tc>
          <w:tcPr>
            <w:tcW w:w="2551" w:type="dxa"/>
            <w:tcBorders>
              <w:top w:val="nil"/>
              <w:left w:val="nil"/>
              <w:bottom w:val="single" w:sz="4" w:space="0" w:color="auto"/>
              <w:right w:val="single" w:sz="4" w:space="0" w:color="auto"/>
            </w:tcBorders>
            <w:shd w:val="clear" w:color="auto" w:fill="auto"/>
            <w:vAlign w:val="bottom"/>
            <w:hideMark/>
          </w:tcPr>
          <w:p w14:paraId="31C5425A" w14:textId="77777777" w:rsidR="0064614B" w:rsidRPr="003542CB" w:rsidRDefault="0064614B" w:rsidP="005F04E3">
            <w:pPr>
              <w:spacing w:before="40" w:after="40" w:line="240" w:lineRule="auto"/>
              <w:rPr>
                <w:rFonts w:cstheme="minorHAnsi"/>
                <w:color w:val="000000" w:themeColor="text1"/>
              </w:rPr>
            </w:pPr>
            <w:r w:rsidRPr="003542CB">
              <w:rPr>
                <w:rFonts w:cstheme="minorHAnsi"/>
                <w:color w:val="000000" w:themeColor="text1"/>
              </w:rPr>
              <w:t> </w:t>
            </w:r>
          </w:p>
        </w:tc>
      </w:tr>
    </w:tbl>
    <w:p w14:paraId="4DB004DC" w14:textId="77777777" w:rsidR="0064614B" w:rsidRPr="003542CB" w:rsidRDefault="0064614B" w:rsidP="00E3584D">
      <w:pPr>
        <w:spacing w:line="280" w:lineRule="atLeast"/>
        <w:rPr>
          <w:rFonts w:cstheme="minorHAnsi"/>
          <w:color w:val="000000" w:themeColor="text1"/>
        </w:rPr>
      </w:pPr>
    </w:p>
    <w:p w14:paraId="14059F9E" w14:textId="640004AD" w:rsidR="005D30E7" w:rsidRPr="003542CB" w:rsidRDefault="001D06C4"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Vzhledem ke složení aktiv Pojišťovny, je jejich oceňování, s výjimkou oceňování pohledávek, shodné s oceněním využitým v rámci účetnictví Pojišťovny. Pohledávky jsou, v souladu s interním odborným pokynem, oceňovány podle doby, jak dlouho jsou po splatnosti. Princip ocenění pohledávek po splat</w:t>
      </w:r>
      <w:r w:rsidR="00B11241" w:rsidRPr="003542CB">
        <w:rPr>
          <w:rFonts w:cstheme="minorHAnsi"/>
          <w:color w:val="000000" w:themeColor="text1"/>
          <w:sz w:val="24"/>
          <w:szCs w:val="24"/>
        </w:rPr>
        <w:t xml:space="preserve">nosti je zobrazen v tabulce č. </w:t>
      </w:r>
      <w:r w:rsidR="00BB0E50" w:rsidRPr="003542CB">
        <w:rPr>
          <w:rFonts w:cstheme="minorHAnsi"/>
          <w:color w:val="000000" w:themeColor="text1"/>
          <w:sz w:val="24"/>
          <w:szCs w:val="24"/>
        </w:rPr>
        <w:t>5</w:t>
      </w:r>
      <w:r w:rsidRPr="003542CB">
        <w:rPr>
          <w:rFonts w:cstheme="minorHAnsi"/>
          <w:color w:val="000000" w:themeColor="text1"/>
          <w:sz w:val="24"/>
          <w:szCs w:val="24"/>
        </w:rPr>
        <w:t>.</w:t>
      </w:r>
      <w:r w:rsidR="007D6317" w:rsidRPr="003542CB">
        <w:rPr>
          <w:rFonts w:cstheme="minorHAnsi"/>
          <w:color w:val="000000" w:themeColor="text1"/>
          <w:sz w:val="24"/>
          <w:szCs w:val="24"/>
        </w:rPr>
        <w:t xml:space="preserve"> Tento princip byl součástí ověření statutárním auditorem.</w:t>
      </w:r>
    </w:p>
    <w:p w14:paraId="72B6A73F" w14:textId="43C58788" w:rsidR="0064614B" w:rsidRPr="003542CB" w:rsidRDefault="00B11241"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Tab. č. </w:t>
      </w:r>
      <w:r w:rsidR="00BB0E50" w:rsidRPr="003542CB">
        <w:rPr>
          <w:rFonts w:cstheme="minorHAnsi"/>
          <w:color w:val="000000" w:themeColor="text1"/>
          <w:sz w:val="24"/>
          <w:szCs w:val="24"/>
        </w:rPr>
        <w:t>5</w:t>
      </w:r>
      <w:r w:rsidR="0064614B" w:rsidRPr="003542CB">
        <w:rPr>
          <w:rFonts w:cstheme="minorHAnsi"/>
          <w:color w:val="000000" w:themeColor="text1"/>
          <w:sz w:val="24"/>
          <w:szCs w:val="24"/>
        </w:rPr>
        <w:t xml:space="preserve"> – Snížení ocenění pohledávek po splatnosti</w:t>
      </w:r>
    </w:p>
    <w:tbl>
      <w:tblPr>
        <w:tblW w:w="8864" w:type="dxa"/>
        <w:jc w:val="center"/>
        <w:tblCellMar>
          <w:left w:w="70" w:type="dxa"/>
          <w:right w:w="70" w:type="dxa"/>
        </w:tblCellMar>
        <w:tblLook w:val="04A0" w:firstRow="1" w:lastRow="0" w:firstColumn="1" w:lastColumn="0" w:noHBand="0" w:noVBand="1"/>
      </w:tblPr>
      <w:tblGrid>
        <w:gridCol w:w="6596"/>
        <w:gridCol w:w="2268"/>
      </w:tblGrid>
      <w:tr w:rsidR="00331B7E" w:rsidRPr="003542CB" w14:paraId="067BC1E9" w14:textId="77777777" w:rsidTr="0064614B">
        <w:trPr>
          <w:trHeight w:val="300"/>
          <w:jc w:val="center"/>
        </w:trPr>
        <w:tc>
          <w:tcPr>
            <w:tcW w:w="6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3B17D1" w14:textId="77777777" w:rsidR="0064614B" w:rsidRPr="003B4FAA" w:rsidRDefault="0064614B" w:rsidP="005F04E3">
            <w:pPr>
              <w:spacing w:before="40" w:after="40" w:line="280" w:lineRule="atLeast"/>
              <w:rPr>
                <w:rFonts w:cstheme="minorHAnsi"/>
                <w:b/>
                <w:bCs/>
                <w:color w:val="000000" w:themeColor="text1"/>
                <w:szCs w:val="24"/>
              </w:rPr>
            </w:pPr>
            <w:r w:rsidRPr="003B4FAA">
              <w:rPr>
                <w:rFonts w:cstheme="minorHAnsi"/>
                <w:b/>
                <w:bCs/>
                <w:color w:val="000000" w:themeColor="text1"/>
                <w:szCs w:val="24"/>
              </w:rPr>
              <w:t>Pohledávky</w:t>
            </w:r>
          </w:p>
        </w:tc>
        <w:tc>
          <w:tcPr>
            <w:tcW w:w="2268" w:type="dxa"/>
            <w:tcBorders>
              <w:top w:val="single" w:sz="4" w:space="0" w:color="auto"/>
              <w:left w:val="nil"/>
              <w:bottom w:val="single" w:sz="4" w:space="0" w:color="auto"/>
              <w:right w:val="single" w:sz="4" w:space="0" w:color="auto"/>
            </w:tcBorders>
            <w:shd w:val="clear" w:color="000000" w:fill="D9D9D9"/>
            <w:noWrap/>
            <w:vAlign w:val="center"/>
          </w:tcPr>
          <w:p w14:paraId="4A0D978C" w14:textId="77777777" w:rsidR="0064614B" w:rsidRPr="003B4FAA" w:rsidRDefault="0064614B" w:rsidP="005F04E3">
            <w:pPr>
              <w:spacing w:before="40" w:after="40" w:line="280" w:lineRule="atLeast"/>
              <w:jc w:val="center"/>
              <w:rPr>
                <w:rFonts w:cstheme="minorHAnsi"/>
                <w:b/>
                <w:bCs/>
                <w:color w:val="000000" w:themeColor="text1"/>
                <w:szCs w:val="24"/>
              </w:rPr>
            </w:pPr>
            <w:r w:rsidRPr="003B4FAA">
              <w:rPr>
                <w:rFonts w:cstheme="minorHAnsi"/>
                <w:b/>
                <w:bCs/>
                <w:color w:val="000000" w:themeColor="text1"/>
                <w:szCs w:val="24"/>
              </w:rPr>
              <w:t>Opravná položka</w:t>
            </w:r>
          </w:p>
        </w:tc>
      </w:tr>
      <w:tr w:rsidR="00331B7E" w:rsidRPr="003542CB" w14:paraId="6DD4A35E" w14:textId="77777777" w:rsidTr="0064614B">
        <w:trPr>
          <w:trHeight w:val="252"/>
          <w:jc w:val="center"/>
        </w:trPr>
        <w:tc>
          <w:tcPr>
            <w:tcW w:w="659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CAB846"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po splatnosti déle než 1 měsíc</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00C2ADA" w14:textId="7E721480"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10</w:t>
            </w:r>
            <w:r w:rsidR="001E6940">
              <w:rPr>
                <w:rFonts w:cstheme="minorHAnsi"/>
                <w:color w:val="000000" w:themeColor="text1"/>
                <w:szCs w:val="24"/>
              </w:rPr>
              <w:t xml:space="preserve"> </w:t>
            </w:r>
            <w:r w:rsidRPr="003542CB">
              <w:rPr>
                <w:rFonts w:cstheme="minorHAnsi"/>
                <w:color w:val="000000" w:themeColor="text1"/>
                <w:szCs w:val="24"/>
              </w:rPr>
              <w:t>%</w:t>
            </w:r>
          </w:p>
        </w:tc>
      </w:tr>
      <w:tr w:rsidR="00331B7E" w:rsidRPr="003542CB" w14:paraId="0F6AEE77" w14:textId="77777777" w:rsidTr="0064614B">
        <w:trPr>
          <w:trHeight w:val="300"/>
          <w:jc w:val="center"/>
        </w:trPr>
        <w:tc>
          <w:tcPr>
            <w:tcW w:w="6596" w:type="dxa"/>
            <w:tcBorders>
              <w:top w:val="nil"/>
              <w:left w:val="single" w:sz="4" w:space="0" w:color="auto"/>
              <w:bottom w:val="single" w:sz="4" w:space="0" w:color="auto"/>
              <w:right w:val="single" w:sz="4" w:space="0" w:color="auto"/>
            </w:tcBorders>
            <w:shd w:val="clear" w:color="000000" w:fill="F2F2F2"/>
            <w:noWrap/>
            <w:vAlign w:val="center"/>
            <w:hideMark/>
          </w:tcPr>
          <w:p w14:paraId="118C3381"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po splatnosti déle než 2 měsíce</w:t>
            </w:r>
          </w:p>
        </w:tc>
        <w:tc>
          <w:tcPr>
            <w:tcW w:w="2268" w:type="dxa"/>
            <w:tcBorders>
              <w:top w:val="nil"/>
              <w:left w:val="nil"/>
              <w:bottom w:val="single" w:sz="4" w:space="0" w:color="auto"/>
              <w:right w:val="single" w:sz="4" w:space="0" w:color="auto"/>
            </w:tcBorders>
            <w:shd w:val="clear" w:color="auto" w:fill="auto"/>
            <w:noWrap/>
            <w:vAlign w:val="center"/>
            <w:hideMark/>
          </w:tcPr>
          <w:p w14:paraId="4AA0A1C5" w14:textId="79896690"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20</w:t>
            </w:r>
            <w:r w:rsidR="001E6940">
              <w:rPr>
                <w:rFonts w:cstheme="minorHAnsi"/>
                <w:color w:val="000000" w:themeColor="text1"/>
                <w:szCs w:val="24"/>
              </w:rPr>
              <w:t xml:space="preserve"> </w:t>
            </w:r>
            <w:r w:rsidRPr="003542CB">
              <w:rPr>
                <w:rFonts w:cstheme="minorHAnsi"/>
                <w:color w:val="000000" w:themeColor="text1"/>
                <w:szCs w:val="24"/>
              </w:rPr>
              <w:t>%</w:t>
            </w:r>
          </w:p>
        </w:tc>
      </w:tr>
      <w:tr w:rsidR="00331B7E" w:rsidRPr="003542CB" w14:paraId="44044A80" w14:textId="77777777" w:rsidTr="0064614B">
        <w:trPr>
          <w:trHeight w:val="300"/>
          <w:jc w:val="center"/>
        </w:trPr>
        <w:tc>
          <w:tcPr>
            <w:tcW w:w="6596" w:type="dxa"/>
            <w:tcBorders>
              <w:top w:val="nil"/>
              <w:left w:val="single" w:sz="4" w:space="0" w:color="auto"/>
              <w:bottom w:val="single" w:sz="4" w:space="0" w:color="auto"/>
              <w:right w:val="single" w:sz="4" w:space="0" w:color="auto"/>
            </w:tcBorders>
            <w:shd w:val="clear" w:color="000000" w:fill="F2F2F2"/>
            <w:noWrap/>
            <w:vAlign w:val="center"/>
            <w:hideMark/>
          </w:tcPr>
          <w:p w14:paraId="144B144A"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 xml:space="preserve">po splatnosti déle než 3 měsíce </w:t>
            </w:r>
          </w:p>
        </w:tc>
        <w:tc>
          <w:tcPr>
            <w:tcW w:w="2268" w:type="dxa"/>
            <w:tcBorders>
              <w:top w:val="nil"/>
              <w:left w:val="nil"/>
              <w:bottom w:val="single" w:sz="4" w:space="0" w:color="auto"/>
              <w:right w:val="single" w:sz="4" w:space="0" w:color="auto"/>
            </w:tcBorders>
            <w:shd w:val="clear" w:color="auto" w:fill="auto"/>
            <w:noWrap/>
            <w:vAlign w:val="center"/>
            <w:hideMark/>
          </w:tcPr>
          <w:p w14:paraId="1F56122F" w14:textId="27308A17"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30</w:t>
            </w:r>
            <w:r w:rsidR="001E6940">
              <w:rPr>
                <w:rFonts w:cstheme="minorHAnsi"/>
                <w:color w:val="000000" w:themeColor="text1"/>
                <w:szCs w:val="24"/>
              </w:rPr>
              <w:t xml:space="preserve"> </w:t>
            </w:r>
            <w:r w:rsidRPr="003542CB">
              <w:rPr>
                <w:rFonts w:cstheme="minorHAnsi"/>
                <w:color w:val="000000" w:themeColor="text1"/>
                <w:szCs w:val="24"/>
              </w:rPr>
              <w:t>%</w:t>
            </w:r>
          </w:p>
        </w:tc>
      </w:tr>
      <w:tr w:rsidR="00331B7E" w:rsidRPr="003542CB" w14:paraId="40E7F3B4" w14:textId="77777777" w:rsidTr="0064614B">
        <w:trPr>
          <w:trHeight w:val="300"/>
          <w:jc w:val="center"/>
        </w:trPr>
        <w:tc>
          <w:tcPr>
            <w:tcW w:w="6596" w:type="dxa"/>
            <w:tcBorders>
              <w:top w:val="nil"/>
              <w:left w:val="single" w:sz="4" w:space="0" w:color="auto"/>
              <w:bottom w:val="single" w:sz="4" w:space="0" w:color="auto"/>
              <w:right w:val="single" w:sz="4" w:space="0" w:color="auto"/>
            </w:tcBorders>
            <w:shd w:val="clear" w:color="000000" w:fill="F2F2F2"/>
            <w:noWrap/>
            <w:vAlign w:val="center"/>
            <w:hideMark/>
          </w:tcPr>
          <w:p w14:paraId="73AAD787"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 xml:space="preserve">po splatnosti déle než 6 měsíců </w:t>
            </w:r>
          </w:p>
        </w:tc>
        <w:tc>
          <w:tcPr>
            <w:tcW w:w="2268" w:type="dxa"/>
            <w:tcBorders>
              <w:top w:val="nil"/>
              <w:left w:val="nil"/>
              <w:bottom w:val="single" w:sz="4" w:space="0" w:color="auto"/>
              <w:right w:val="single" w:sz="4" w:space="0" w:color="auto"/>
            </w:tcBorders>
            <w:shd w:val="clear" w:color="auto" w:fill="auto"/>
            <w:noWrap/>
            <w:vAlign w:val="center"/>
            <w:hideMark/>
          </w:tcPr>
          <w:p w14:paraId="7C1B5DBC" w14:textId="0C2E5DDD"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50</w:t>
            </w:r>
            <w:r w:rsidR="001E6940">
              <w:rPr>
                <w:rFonts w:cstheme="minorHAnsi"/>
                <w:color w:val="000000" w:themeColor="text1"/>
                <w:szCs w:val="24"/>
              </w:rPr>
              <w:t xml:space="preserve"> </w:t>
            </w:r>
            <w:r w:rsidRPr="003542CB">
              <w:rPr>
                <w:rFonts w:cstheme="minorHAnsi"/>
                <w:color w:val="000000" w:themeColor="text1"/>
                <w:szCs w:val="24"/>
              </w:rPr>
              <w:t>%</w:t>
            </w:r>
          </w:p>
        </w:tc>
      </w:tr>
      <w:tr w:rsidR="00331B7E" w:rsidRPr="003542CB" w14:paraId="4A1FEC20" w14:textId="77777777" w:rsidTr="0064614B">
        <w:trPr>
          <w:trHeight w:val="300"/>
          <w:jc w:val="center"/>
        </w:trPr>
        <w:tc>
          <w:tcPr>
            <w:tcW w:w="6596" w:type="dxa"/>
            <w:tcBorders>
              <w:top w:val="nil"/>
              <w:left w:val="single" w:sz="4" w:space="0" w:color="auto"/>
              <w:bottom w:val="single" w:sz="4" w:space="0" w:color="auto"/>
              <w:right w:val="single" w:sz="4" w:space="0" w:color="auto"/>
            </w:tcBorders>
            <w:shd w:val="clear" w:color="000000" w:fill="F2F2F2"/>
            <w:noWrap/>
            <w:vAlign w:val="center"/>
            <w:hideMark/>
          </w:tcPr>
          <w:p w14:paraId="1D7D045A"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 xml:space="preserve">po splatnosti déle než 12 měsíců </w:t>
            </w:r>
          </w:p>
        </w:tc>
        <w:tc>
          <w:tcPr>
            <w:tcW w:w="2268" w:type="dxa"/>
            <w:tcBorders>
              <w:top w:val="nil"/>
              <w:left w:val="nil"/>
              <w:bottom w:val="single" w:sz="4" w:space="0" w:color="auto"/>
              <w:right w:val="single" w:sz="4" w:space="0" w:color="auto"/>
            </w:tcBorders>
            <w:shd w:val="clear" w:color="auto" w:fill="auto"/>
            <w:noWrap/>
            <w:vAlign w:val="center"/>
            <w:hideMark/>
          </w:tcPr>
          <w:p w14:paraId="601CC0DE" w14:textId="69D3A207"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100</w:t>
            </w:r>
            <w:r w:rsidR="001E6940">
              <w:rPr>
                <w:rFonts w:cstheme="minorHAnsi"/>
                <w:color w:val="000000" w:themeColor="text1"/>
                <w:szCs w:val="24"/>
              </w:rPr>
              <w:t xml:space="preserve"> </w:t>
            </w:r>
            <w:r w:rsidRPr="003542CB">
              <w:rPr>
                <w:rFonts w:cstheme="minorHAnsi"/>
                <w:color w:val="000000" w:themeColor="text1"/>
                <w:szCs w:val="24"/>
              </w:rPr>
              <w:t>%</w:t>
            </w:r>
          </w:p>
        </w:tc>
      </w:tr>
      <w:tr w:rsidR="00331B7E" w:rsidRPr="003542CB" w14:paraId="43E640F2" w14:textId="77777777" w:rsidTr="0064614B">
        <w:trPr>
          <w:trHeight w:val="300"/>
          <w:jc w:val="center"/>
        </w:trPr>
        <w:tc>
          <w:tcPr>
            <w:tcW w:w="6596" w:type="dxa"/>
            <w:tcBorders>
              <w:top w:val="nil"/>
              <w:left w:val="single" w:sz="4" w:space="0" w:color="auto"/>
              <w:bottom w:val="single" w:sz="4" w:space="0" w:color="auto"/>
              <w:right w:val="single" w:sz="4" w:space="0" w:color="auto"/>
            </w:tcBorders>
            <w:shd w:val="clear" w:color="000000" w:fill="F2F2F2"/>
            <w:noWrap/>
            <w:vAlign w:val="center"/>
            <w:hideMark/>
          </w:tcPr>
          <w:p w14:paraId="45B25B8B" w14:textId="77777777" w:rsidR="0064614B" w:rsidRPr="003542CB" w:rsidRDefault="0064614B" w:rsidP="005F04E3">
            <w:pPr>
              <w:spacing w:before="40" w:after="40" w:line="280" w:lineRule="atLeast"/>
              <w:rPr>
                <w:rFonts w:cstheme="minorHAnsi"/>
                <w:color w:val="000000" w:themeColor="text1"/>
                <w:szCs w:val="24"/>
              </w:rPr>
            </w:pPr>
            <w:r w:rsidRPr="003542CB">
              <w:rPr>
                <w:rFonts w:cstheme="minorHAnsi"/>
                <w:color w:val="000000" w:themeColor="text1"/>
                <w:szCs w:val="24"/>
              </w:rPr>
              <w:t>dlužník v insolvenci, bez ohledu na splatnost</w:t>
            </w:r>
          </w:p>
        </w:tc>
        <w:tc>
          <w:tcPr>
            <w:tcW w:w="2268" w:type="dxa"/>
            <w:tcBorders>
              <w:top w:val="nil"/>
              <w:left w:val="nil"/>
              <w:bottom w:val="single" w:sz="4" w:space="0" w:color="auto"/>
              <w:right w:val="single" w:sz="4" w:space="0" w:color="auto"/>
            </w:tcBorders>
            <w:shd w:val="clear" w:color="auto" w:fill="auto"/>
            <w:noWrap/>
            <w:vAlign w:val="center"/>
            <w:hideMark/>
          </w:tcPr>
          <w:p w14:paraId="666ECE1E" w14:textId="76FBCFF7" w:rsidR="0064614B" w:rsidRPr="003542CB" w:rsidRDefault="0064614B" w:rsidP="005F04E3">
            <w:pPr>
              <w:spacing w:before="40" w:after="40" w:line="280" w:lineRule="atLeast"/>
              <w:jc w:val="center"/>
              <w:rPr>
                <w:rFonts w:cstheme="minorHAnsi"/>
                <w:color w:val="000000" w:themeColor="text1"/>
                <w:szCs w:val="24"/>
              </w:rPr>
            </w:pPr>
            <w:r w:rsidRPr="003542CB">
              <w:rPr>
                <w:rFonts w:cstheme="minorHAnsi"/>
                <w:color w:val="000000" w:themeColor="text1"/>
                <w:szCs w:val="24"/>
              </w:rPr>
              <w:t>100</w:t>
            </w:r>
            <w:r w:rsidR="001E6940">
              <w:rPr>
                <w:rFonts w:cstheme="minorHAnsi"/>
                <w:color w:val="000000" w:themeColor="text1"/>
                <w:szCs w:val="24"/>
              </w:rPr>
              <w:t xml:space="preserve"> </w:t>
            </w:r>
            <w:r w:rsidRPr="003542CB">
              <w:rPr>
                <w:rFonts w:cstheme="minorHAnsi"/>
                <w:color w:val="000000" w:themeColor="text1"/>
                <w:szCs w:val="24"/>
              </w:rPr>
              <w:t>%</w:t>
            </w:r>
          </w:p>
        </w:tc>
      </w:tr>
    </w:tbl>
    <w:p w14:paraId="73565AE7" w14:textId="4FDDAE88" w:rsidR="007B4480" w:rsidRPr="003542CB" w:rsidRDefault="007B4480" w:rsidP="00E3584D">
      <w:pPr>
        <w:spacing w:line="280" w:lineRule="atLeast"/>
        <w:jc w:val="both"/>
        <w:rPr>
          <w:rFonts w:cstheme="minorHAnsi"/>
          <w:color w:val="000000" w:themeColor="text1"/>
          <w:sz w:val="24"/>
          <w:szCs w:val="24"/>
        </w:rPr>
      </w:pPr>
    </w:p>
    <w:p w14:paraId="64DAF0AA" w14:textId="71846DC8" w:rsidR="00DD3C13" w:rsidRPr="00E806E6" w:rsidRDefault="00026C82" w:rsidP="00E806E6">
      <w:pPr>
        <w:pStyle w:val="Nadpis2"/>
        <w:spacing w:after="120" w:line="280" w:lineRule="atLeast"/>
        <w:rPr>
          <w:rFonts w:asciiTheme="minorHAnsi" w:hAnsiTheme="minorHAnsi" w:cstheme="minorHAnsi"/>
          <w:b/>
          <w:color w:val="000000" w:themeColor="text1"/>
        </w:rPr>
      </w:pPr>
      <w:bookmarkStart w:id="29" w:name="_Toc75366898"/>
      <w:r w:rsidRPr="003542CB">
        <w:rPr>
          <w:rFonts w:asciiTheme="minorHAnsi" w:hAnsiTheme="minorHAnsi" w:cstheme="minorHAnsi"/>
          <w:b/>
          <w:color w:val="000000" w:themeColor="text1"/>
        </w:rPr>
        <w:t>6.2</w:t>
      </w:r>
      <w:r w:rsidR="00AE2B74" w:rsidRPr="003542CB">
        <w:rPr>
          <w:rFonts w:asciiTheme="minorHAnsi" w:hAnsiTheme="minorHAnsi" w:cstheme="minorHAnsi"/>
          <w:b/>
          <w:color w:val="000000" w:themeColor="text1"/>
        </w:rPr>
        <w:t>. Technické rezervy a riziková přirážka</w:t>
      </w:r>
      <w:bookmarkEnd w:id="29"/>
    </w:p>
    <w:p w14:paraId="3E4F883E" w14:textId="2E6949B2" w:rsidR="007D6317" w:rsidRPr="003542CB" w:rsidRDefault="007D6317"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Technické rezervy jsou počítány externím pojistným matematikem, který je zodpovědný za jejich správný výpočet.</w:t>
      </w:r>
    </w:p>
    <w:p w14:paraId="0C2A99B4" w14:textId="183CF062" w:rsidR="007008DA" w:rsidRPr="003542CB" w:rsidRDefault="007008DA"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Rezerva na pojistná plnění představuje souhrn finančních prostředků, které odpovídají předpokládanému (budoucímu) pojistnému plnění za již vzniklé škody. Je ji možno rozdělit na tři základní části:</w:t>
      </w:r>
    </w:p>
    <w:p w14:paraId="59574670" w14:textId="77777777" w:rsidR="007008DA" w:rsidRPr="003542CB" w:rsidRDefault="007008DA" w:rsidP="003B4FAA">
      <w:pPr>
        <w:pStyle w:val="Odstavecseseznamem"/>
        <w:numPr>
          <w:ilvl w:val="0"/>
          <w:numId w:val="13"/>
        </w:numPr>
        <w:spacing w:after="120" w:line="280" w:lineRule="atLeast"/>
        <w:ind w:left="425" w:hanging="357"/>
        <w:contextualSpacing w:val="0"/>
        <w:jc w:val="both"/>
        <w:rPr>
          <w:rFonts w:cstheme="minorHAnsi"/>
          <w:color w:val="000000" w:themeColor="text1"/>
          <w:sz w:val="24"/>
          <w:szCs w:val="24"/>
        </w:rPr>
      </w:pPr>
      <w:r w:rsidRPr="003542CB">
        <w:rPr>
          <w:rFonts w:cstheme="minorHAnsi"/>
          <w:color w:val="000000" w:themeColor="text1"/>
          <w:sz w:val="24"/>
          <w:szCs w:val="24"/>
        </w:rPr>
        <w:t>rezerva na náklady, které nejsou přímo pojistným plněním, avšak souvisejí s ním a nebylo by možné bez jejich vynaložení pojistné plnění vyplatit – jedná se například o cenu znaleckých posudků, které se v některých případech musejí vypracovat, odměny externím spolupracovníkům a podobně. Tato rezerva se zpravidla vytváří expertním odhadem jako procento z těch nákladů, které směřují přímo ke klientovi;</w:t>
      </w:r>
    </w:p>
    <w:p w14:paraId="04360B6F" w14:textId="77777777" w:rsidR="007008DA" w:rsidRPr="003542CB" w:rsidRDefault="007008DA" w:rsidP="003B4FAA">
      <w:pPr>
        <w:pStyle w:val="Odstavecseseznamem"/>
        <w:numPr>
          <w:ilvl w:val="0"/>
          <w:numId w:val="13"/>
        </w:numPr>
        <w:spacing w:after="120" w:line="280" w:lineRule="atLeast"/>
        <w:ind w:left="425" w:hanging="357"/>
        <w:contextualSpacing w:val="0"/>
        <w:jc w:val="both"/>
        <w:rPr>
          <w:rFonts w:cstheme="minorHAnsi"/>
          <w:color w:val="000000" w:themeColor="text1"/>
          <w:sz w:val="24"/>
          <w:szCs w:val="24"/>
        </w:rPr>
      </w:pPr>
      <w:r w:rsidRPr="003542CB">
        <w:rPr>
          <w:rFonts w:cstheme="minorHAnsi"/>
          <w:color w:val="000000" w:themeColor="text1"/>
          <w:sz w:val="24"/>
          <w:szCs w:val="24"/>
        </w:rPr>
        <w:t xml:space="preserve">rezerva na pojistné plnění z pojistných událostí, které již byly pojišťovně nahlášeny, avšak dosud nebyly zlikvidovány, případně byly zlikvidovány pouze částečně. Tyto rezervy zahrnují především finanční prostředky příslušející nedávným škodám, které z časových důvodů nebylo možno řádně zpracovat, nebo škodám legislativně komplikovaným, kdy je například pojistná událost tak složitá, že je obtížné stanovit odpovídající výši pojistného plnění nebo kdy pojistná událost vyžaduje časovou prodlevu, po níž se teprve ukáže, vznikne-li nárok na pojistné plnění (typicky trvalé následky úrazu). V některých případech může též dojít ke zdržení pojistného </w:t>
      </w:r>
      <w:proofErr w:type="gramStart"/>
      <w:r w:rsidRPr="003542CB">
        <w:rPr>
          <w:rFonts w:cstheme="minorHAnsi"/>
          <w:color w:val="000000" w:themeColor="text1"/>
          <w:sz w:val="24"/>
          <w:szCs w:val="24"/>
        </w:rPr>
        <w:t>plnění</w:t>
      </w:r>
      <w:proofErr w:type="gramEnd"/>
      <w:r w:rsidRPr="003542CB">
        <w:rPr>
          <w:rFonts w:cstheme="minorHAnsi"/>
          <w:color w:val="000000" w:themeColor="text1"/>
          <w:sz w:val="24"/>
          <w:szCs w:val="24"/>
        </w:rPr>
        <w:t xml:space="preserve"> a tedy k tvorbě této rezervy z důvodu podezření z pojistného podvodu. Tato rezerva se stanovuje buď na základě expertního odhadu a osobní úvahy likvidátora (například náklady odpovídající době hospitalizace), nebo definovanými pravidly (například plnění v případě smrti úrazem);</w:t>
      </w:r>
    </w:p>
    <w:p w14:paraId="3B80114E" w14:textId="70451D6D" w:rsidR="002E3725" w:rsidRPr="007F2A00" w:rsidRDefault="007008DA" w:rsidP="007F2A00">
      <w:pPr>
        <w:pStyle w:val="Odstavecseseznamem"/>
        <w:numPr>
          <w:ilvl w:val="0"/>
          <w:numId w:val="13"/>
        </w:numPr>
        <w:spacing w:after="120" w:line="280" w:lineRule="atLeast"/>
        <w:ind w:left="425" w:hanging="357"/>
        <w:contextualSpacing w:val="0"/>
        <w:jc w:val="both"/>
        <w:rPr>
          <w:rFonts w:cstheme="minorHAnsi"/>
          <w:color w:val="000000" w:themeColor="text1"/>
          <w:sz w:val="24"/>
          <w:szCs w:val="24"/>
        </w:rPr>
      </w:pPr>
      <w:r w:rsidRPr="003542CB">
        <w:rPr>
          <w:rFonts w:cstheme="minorHAnsi"/>
          <w:color w:val="000000" w:themeColor="text1"/>
          <w:sz w:val="24"/>
          <w:szCs w:val="24"/>
        </w:rPr>
        <w:t>rezerva na pojistné plnění z pojistných událostí, které sice již vznikly, avšak pojišťovně nebyly nahlášeny. Prodleva mezi vznikem a nahlášením pojistné události je typická pro ty pojistné události v neživotním pojištění, kdy škodu nejprve uhradí klient a teprve následně se obrací na pojistitele (kupříkladu se může jednat o ztrátu či krádež nějakého předmětu či zavazadel: klient tuto skutečnost oficiálně zaprotokoluje, ztracené věci si nahradí z vlastních zdrojů a na pojišťovnu se obrací až po návratu z</w:t>
      </w:r>
      <w:r w:rsidR="00AA4858" w:rsidRPr="003542CB">
        <w:rPr>
          <w:rFonts w:cstheme="minorHAnsi"/>
          <w:color w:val="000000" w:themeColor="text1"/>
          <w:sz w:val="24"/>
          <w:szCs w:val="24"/>
        </w:rPr>
        <w:t> </w:t>
      </w:r>
      <w:r w:rsidRPr="003542CB">
        <w:rPr>
          <w:rFonts w:cstheme="minorHAnsi"/>
          <w:color w:val="000000" w:themeColor="text1"/>
          <w:sz w:val="24"/>
          <w:szCs w:val="24"/>
        </w:rPr>
        <w:t>dovolené</w:t>
      </w:r>
      <w:r w:rsidR="00AA4858" w:rsidRPr="003542CB">
        <w:rPr>
          <w:rFonts w:cstheme="minorHAnsi"/>
          <w:color w:val="000000" w:themeColor="text1"/>
          <w:sz w:val="24"/>
          <w:szCs w:val="24"/>
        </w:rPr>
        <w:t>)</w:t>
      </w:r>
      <w:r w:rsidRPr="003542CB">
        <w:rPr>
          <w:rFonts w:cstheme="minorHAnsi"/>
          <w:color w:val="000000" w:themeColor="text1"/>
          <w:sz w:val="24"/>
          <w:szCs w:val="24"/>
        </w:rPr>
        <w:t>. Výše této rezervy je počítána statistickým způsobem, kdy zásadní roli hraje minulá zkušenost právě s prodlevou mezi vznikem a hlášením pojistné události. Rezerva musí být počítána portfoliově (tedy nikoli na každou jednu pojistnou smlouvu), avšak často je třeba portfolio segmentovat, neboť různá rizika mohou mít různé typické prodlevy.</w:t>
      </w:r>
    </w:p>
    <w:p w14:paraId="3B24B873" w14:textId="77777777" w:rsidR="00F64208" w:rsidRPr="003542CB" w:rsidRDefault="00F64208" w:rsidP="00E46118">
      <w:pPr>
        <w:spacing w:line="280" w:lineRule="atLeast"/>
        <w:jc w:val="both"/>
        <w:rPr>
          <w:rFonts w:cstheme="minorHAnsi"/>
          <w:sz w:val="24"/>
        </w:rPr>
      </w:pPr>
      <w:r w:rsidRPr="003542CB">
        <w:rPr>
          <w:rFonts w:cstheme="minorHAnsi"/>
          <w:sz w:val="24"/>
        </w:rPr>
        <w:t>Pravidelně dochází k vyhodnocování postačitelnosti těchto re</w:t>
      </w:r>
      <w:r w:rsidR="005825D7" w:rsidRPr="003542CB">
        <w:rPr>
          <w:rFonts w:cstheme="minorHAnsi"/>
          <w:sz w:val="24"/>
        </w:rPr>
        <w:t>z</w:t>
      </w:r>
      <w:r w:rsidRPr="003542CB">
        <w:rPr>
          <w:rFonts w:cstheme="minorHAnsi"/>
          <w:sz w:val="24"/>
        </w:rPr>
        <w:t>erv, a to run-</w:t>
      </w:r>
      <w:proofErr w:type="spellStart"/>
      <w:r w:rsidRPr="003542CB">
        <w:rPr>
          <w:rFonts w:cstheme="minorHAnsi"/>
          <w:sz w:val="24"/>
        </w:rPr>
        <w:t>off</w:t>
      </w:r>
      <w:proofErr w:type="spellEnd"/>
      <w:r w:rsidRPr="003542CB">
        <w:rPr>
          <w:rFonts w:cstheme="minorHAnsi"/>
          <w:sz w:val="24"/>
        </w:rPr>
        <w:t xml:space="preserve"> analýzou. Dále se též provádí porovnání předpokládaného škodného procenta se skutečným. </w:t>
      </w:r>
    </w:p>
    <w:p w14:paraId="0AC4E8D3" w14:textId="77777777" w:rsidR="007008DA" w:rsidRPr="003542CB" w:rsidRDefault="007008DA" w:rsidP="00E46118">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Pojistitel musí mít v každém okamžiku dostatečné množství kapitálu, kterým kryje rezervy (na pojistná plnění). Umístění tohoto kapitálu je regulováno legislativně, obecně lze </w:t>
      </w:r>
      <w:proofErr w:type="gramStart"/>
      <w:r w:rsidRPr="003542CB">
        <w:rPr>
          <w:rFonts w:cstheme="minorHAnsi"/>
          <w:color w:val="000000" w:themeColor="text1"/>
          <w:sz w:val="24"/>
          <w:szCs w:val="24"/>
        </w:rPr>
        <w:t>říci</w:t>
      </w:r>
      <w:proofErr w:type="gramEnd"/>
      <w:r w:rsidRPr="003542CB">
        <w:rPr>
          <w:rFonts w:cstheme="minorHAnsi"/>
          <w:color w:val="000000" w:themeColor="text1"/>
          <w:sz w:val="24"/>
          <w:szCs w:val="24"/>
        </w:rPr>
        <w:t>, že pojišťovna musí investovat uvážlivě do méně rizikových nástrojů finančního trhu.</w:t>
      </w:r>
    </w:p>
    <w:p w14:paraId="3F24A059" w14:textId="1122FD6E" w:rsidR="007008DA" w:rsidRPr="003542CB" w:rsidRDefault="007008DA" w:rsidP="00E46118">
      <w:pPr>
        <w:spacing w:line="280" w:lineRule="atLeast"/>
        <w:jc w:val="both"/>
        <w:rPr>
          <w:rFonts w:cstheme="minorHAnsi"/>
          <w:color w:val="000000" w:themeColor="text1"/>
          <w:sz w:val="24"/>
          <w:szCs w:val="24"/>
        </w:rPr>
      </w:pPr>
      <w:r w:rsidRPr="003542CB">
        <w:rPr>
          <w:rFonts w:cstheme="minorHAnsi"/>
          <w:color w:val="000000" w:themeColor="text1"/>
          <w:sz w:val="24"/>
          <w:szCs w:val="24"/>
        </w:rPr>
        <w:t>Rezervy na pojistná plnění mohou být plně na vrub pojišťovny, nebo jejich část může jít za zajistitelem; v tomto případě se rozlišuje mezi hrubou výší rezerv (vše) a čistou výší rezerv (část jdoucí na vrub pojišťovny). Přestože jsou v účetnictví pojišťovny vedeny rezervy v hrubé výši, má pojišťovna pro účely krytí technických rezerv možnost, při splnění daných podmínek, rozdíl mezi hrubou a čistou výší rezervy vykázat jako pohledávku za zajistitelem.</w:t>
      </w:r>
    </w:p>
    <w:p w14:paraId="06611C30" w14:textId="5A61DFED" w:rsidR="00DE5FCA" w:rsidRPr="003542CB" w:rsidRDefault="00DE5FCA" w:rsidP="00E3584D">
      <w:pPr>
        <w:spacing w:line="280" w:lineRule="atLeast"/>
        <w:ind w:firstLine="708"/>
        <w:jc w:val="both"/>
        <w:rPr>
          <w:rFonts w:cstheme="minorHAnsi"/>
          <w:color w:val="000000" w:themeColor="text1"/>
          <w:sz w:val="24"/>
          <w:szCs w:val="24"/>
        </w:rPr>
      </w:pPr>
    </w:p>
    <w:p w14:paraId="77D862BB" w14:textId="2E1FE4E6" w:rsidR="00DE5FCA" w:rsidRPr="003542CB" w:rsidRDefault="00DE5FCA" w:rsidP="00E3584D">
      <w:pPr>
        <w:spacing w:line="280" w:lineRule="atLeast"/>
        <w:ind w:firstLine="708"/>
        <w:jc w:val="both"/>
        <w:rPr>
          <w:rFonts w:cstheme="minorHAnsi"/>
          <w:color w:val="000000" w:themeColor="text1"/>
          <w:sz w:val="24"/>
          <w:szCs w:val="24"/>
        </w:rPr>
      </w:pPr>
    </w:p>
    <w:p w14:paraId="189D0746" w14:textId="76DEED0F" w:rsidR="00DE5FCA" w:rsidRPr="003542CB" w:rsidRDefault="00DE5FCA" w:rsidP="00E3584D">
      <w:pPr>
        <w:spacing w:line="280" w:lineRule="atLeast"/>
        <w:ind w:firstLine="708"/>
        <w:jc w:val="both"/>
        <w:rPr>
          <w:rFonts w:cstheme="minorHAnsi"/>
          <w:color w:val="000000" w:themeColor="text1"/>
          <w:sz w:val="24"/>
          <w:szCs w:val="24"/>
        </w:rPr>
      </w:pPr>
    </w:p>
    <w:p w14:paraId="78A1E96A" w14:textId="067D88B4" w:rsidR="00094757" w:rsidRDefault="00094757">
      <w:pPr>
        <w:rPr>
          <w:rFonts w:eastAsiaTheme="majorEastAsia" w:cstheme="minorHAnsi"/>
          <w:b/>
          <w:color w:val="000000" w:themeColor="text1"/>
          <w:sz w:val="32"/>
          <w:szCs w:val="32"/>
        </w:rPr>
      </w:pPr>
    </w:p>
    <w:p w14:paraId="733BCA73" w14:textId="35C24370" w:rsidR="00AE2B74" w:rsidRPr="003542CB" w:rsidRDefault="00AE2B74" w:rsidP="00E3584D">
      <w:pPr>
        <w:pStyle w:val="Nadpis1"/>
        <w:spacing w:line="280" w:lineRule="atLeast"/>
        <w:ind w:firstLine="708"/>
        <w:jc w:val="center"/>
        <w:rPr>
          <w:rFonts w:asciiTheme="minorHAnsi" w:hAnsiTheme="minorHAnsi" w:cstheme="minorHAnsi"/>
          <w:b/>
          <w:color w:val="000000" w:themeColor="text1"/>
        </w:rPr>
      </w:pPr>
      <w:bookmarkStart w:id="30" w:name="_Toc75366899"/>
      <w:r w:rsidRPr="003542CB">
        <w:rPr>
          <w:rFonts w:asciiTheme="minorHAnsi" w:hAnsiTheme="minorHAnsi" w:cstheme="minorHAnsi"/>
          <w:b/>
          <w:color w:val="000000" w:themeColor="text1"/>
        </w:rPr>
        <w:lastRenderedPageBreak/>
        <w:t>7. ŘÍZENÍ KAPITÁLU</w:t>
      </w:r>
      <w:bookmarkEnd w:id="30"/>
    </w:p>
    <w:p w14:paraId="57D29F54" w14:textId="77777777" w:rsidR="00AE2B74" w:rsidRPr="003542CB" w:rsidRDefault="00AE2B74" w:rsidP="00E3584D">
      <w:pPr>
        <w:spacing w:line="280" w:lineRule="atLeast"/>
        <w:jc w:val="both"/>
        <w:rPr>
          <w:rFonts w:cstheme="minorHAnsi"/>
          <w:color w:val="000000" w:themeColor="text1"/>
          <w:sz w:val="24"/>
          <w:szCs w:val="24"/>
        </w:rPr>
      </w:pPr>
    </w:p>
    <w:p w14:paraId="4637359A" w14:textId="77777777" w:rsidR="00AE2B74" w:rsidRPr="003542CB" w:rsidRDefault="00AE2B74" w:rsidP="00B10188">
      <w:pPr>
        <w:pStyle w:val="Nadpis2"/>
        <w:spacing w:after="120" w:line="280" w:lineRule="atLeast"/>
        <w:rPr>
          <w:rFonts w:asciiTheme="minorHAnsi" w:hAnsiTheme="minorHAnsi" w:cstheme="minorHAnsi"/>
          <w:b/>
          <w:color w:val="000000" w:themeColor="text1"/>
        </w:rPr>
      </w:pPr>
      <w:bookmarkStart w:id="31" w:name="_Toc75366900"/>
      <w:r w:rsidRPr="003542CB">
        <w:rPr>
          <w:rFonts w:asciiTheme="minorHAnsi" w:hAnsiTheme="minorHAnsi" w:cstheme="minorHAnsi"/>
          <w:b/>
          <w:color w:val="000000" w:themeColor="text1"/>
        </w:rPr>
        <w:t xml:space="preserve">7.1. </w:t>
      </w:r>
      <w:r w:rsidR="003277FB" w:rsidRPr="003542CB">
        <w:rPr>
          <w:rFonts w:asciiTheme="minorHAnsi" w:hAnsiTheme="minorHAnsi" w:cstheme="minorHAnsi"/>
          <w:b/>
          <w:color w:val="000000" w:themeColor="text1"/>
        </w:rPr>
        <w:t>Ukazatele</w:t>
      </w:r>
      <w:r w:rsidRPr="003542CB">
        <w:rPr>
          <w:rFonts w:asciiTheme="minorHAnsi" w:hAnsiTheme="minorHAnsi" w:cstheme="minorHAnsi"/>
          <w:b/>
          <w:color w:val="000000" w:themeColor="text1"/>
        </w:rPr>
        <w:t xml:space="preserve"> kapitálové přiměřenosti</w:t>
      </w:r>
      <w:bookmarkEnd w:id="31"/>
    </w:p>
    <w:p w14:paraId="46D2B1EC" w14:textId="7C296BB5" w:rsidR="00AC1FEC" w:rsidRPr="003542CB" w:rsidRDefault="00AC1FEC" w:rsidP="00E3584D">
      <w:pPr>
        <w:spacing w:line="280" w:lineRule="atLeast"/>
        <w:rPr>
          <w:rFonts w:cstheme="minorHAnsi"/>
          <w:color w:val="000000" w:themeColor="text1"/>
          <w:sz w:val="24"/>
        </w:rPr>
      </w:pPr>
      <w:r w:rsidRPr="003542CB">
        <w:rPr>
          <w:rFonts w:cstheme="minorHAnsi"/>
          <w:color w:val="000000" w:themeColor="text1"/>
          <w:sz w:val="24"/>
        </w:rPr>
        <w:t xml:space="preserve">Pro účely </w:t>
      </w:r>
      <w:proofErr w:type="spellStart"/>
      <w:r w:rsidRPr="003542CB">
        <w:rPr>
          <w:rFonts w:cstheme="minorHAnsi"/>
          <w:color w:val="000000" w:themeColor="text1"/>
          <w:sz w:val="24"/>
        </w:rPr>
        <w:t>Solvency</w:t>
      </w:r>
      <w:proofErr w:type="spellEnd"/>
      <w:r w:rsidRPr="003542CB">
        <w:rPr>
          <w:rFonts w:cstheme="minorHAnsi"/>
          <w:color w:val="000000" w:themeColor="text1"/>
          <w:sz w:val="24"/>
        </w:rPr>
        <w:t xml:space="preserve"> II je v </w:t>
      </w:r>
      <w:r w:rsidRPr="003542CB">
        <w:rPr>
          <w:rFonts w:cstheme="minorHAnsi"/>
          <w:color w:val="000000" w:themeColor="text1"/>
          <w:sz w:val="24"/>
          <w:szCs w:val="24"/>
        </w:rPr>
        <w:t>Pojišťovně</w:t>
      </w:r>
      <w:r w:rsidRPr="003542CB">
        <w:rPr>
          <w:rFonts w:cstheme="minorHAnsi"/>
          <w:color w:val="000000" w:themeColor="text1"/>
          <w:sz w:val="24"/>
        </w:rPr>
        <w:t xml:space="preserve"> vypočítáván </w:t>
      </w:r>
      <w:proofErr w:type="spellStart"/>
      <w:r w:rsidRPr="003542CB">
        <w:rPr>
          <w:rFonts w:cstheme="minorHAnsi"/>
          <w:color w:val="000000" w:themeColor="text1"/>
          <w:sz w:val="24"/>
        </w:rPr>
        <w:t>solventnostní</w:t>
      </w:r>
      <w:proofErr w:type="spellEnd"/>
      <w:r w:rsidRPr="003542CB">
        <w:rPr>
          <w:rFonts w:cstheme="minorHAnsi"/>
          <w:color w:val="000000" w:themeColor="text1"/>
          <w:sz w:val="24"/>
        </w:rPr>
        <w:t xml:space="preserve"> (SCR) a minimální (MCR) kapitálový požadavek. MCR je ve výši absolutní dolní meze stanovené legislativou, tedy 2 500 000 EUR.</w:t>
      </w:r>
    </w:p>
    <w:p w14:paraId="583057F7" w14:textId="52B53CC1"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Kvantifikace jednotlivých rizikových modulů SCR je shrnut v tab. č. 6.</w:t>
      </w:r>
    </w:p>
    <w:p w14:paraId="51AB7413" w14:textId="77777777"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Tab. č. 6 – Kvantitativní členění rizikových modulů k 31. 12. 2020</w:t>
      </w:r>
    </w:p>
    <w:tbl>
      <w:tblPr>
        <w:tblStyle w:val="Mkatabulky"/>
        <w:tblW w:w="0" w:type="auto"/>
        <w:tblLook w:val="04A0" w:firstRow="1" w:lastRow="0" w:firstColumn="1" w:lastColumn="0" w:noHBand="0" w:noVBand="1"/>
      </w:tblPr>
      <w:tblGrid>
        <w:gridCol w:w="4957"/>
        <w:gridCol w:w="3969"/>
      </w:tblGrid>
      <w:tr w:rsidR="00AC1FEC" w:rsidRPr="003542CB" w14:paraId="572BDA49" w14:textId="77777777" w:rsidTr="007B77E6">
        <w:tc>
          <w:tcPr>
            <w:tcW w:w="4957" w:type="dxa"/>
          </w:tcPr>
          <w:p w14:paraId="3990D279" w14:textId="77777777" w:rsidR="00AC1FEC" w:rsidRPr="003542CB" w:rsidRDefault="00AC1FEC" w:rsidP="007B77E6">
            <w:pPr>
              <w:spacing w:before="60" w:after="60" w:line="280" w:lineRule="atLeast"/>
              <w:jc w:val="both"/>
              <w:rPr>
                <w:rFonts w:cstheme="minorHAnsi"/>
                <w:color w:val="000000" w:themeColor="text1"/>
                <w:sz w:val="24"/>
              </w:rPr>
            </w:pPr>
            <w:r w:rsidRPr="003542CB">
              <w:rPr>
                <w:rFonts w:cstheme="minorHAnsi"/>
                <w:color w:val="000000" w:themeColor="text1"/>
                <w:sz w:val="24"/>
              </w:rPr>
              <w:t>Životní upisovací riziko (v Kč)</w:t>
            </w:r>
          </w:p>
        </w:tc>
        <w:tc>
          <w:tcPr>
            <w:tcW w:w="3969" w:type="dxa"/>
          </w:tcPr>
          <w:p w14:paraId="03E73012" w14:textId="77777777" w:rsidR="00AC1FEC" w:rsidRPr="003542CB" w:rsidRDefault="00AC1FEC" w:rsidP="007B77E6">
            <w:pPr>
              <w:spacing w:before="60" w:after="60" w:line="280" w:lineRule="atLeast"/>
              <w:jc w:val="center"/>
              <w:rPr>
                <w:rFonts w:cstheme="minorHAnsi"/>
                <w:color w:val="000000" w:themeColor="text1"/>
                <w:sz w:val="24"/>
              </w:rPr>
            </w:pPr>
            <w:r w:rsidRPr="003542CB">
              <w:rPr>
                <w:rFonts w:cstheme="minorHAnsi"/>
                <w:color w:val="000000" w:themeColor="text1"/>
                <w:sz w:val="24"/>
              </w:rPr>
              <w:t>---</w:t>
            </w:r>
          </w:p>
        </w:tc>
      </w:tr>
      <w:tr w:rsidR="009C3CB0" w:rsidRPr="003542CB" w14:paraId="1A85653D" w14:textId="77777777" w:rsidTr="007B77E6">
        <w:tc>
          <w:tcPr>
            <w:tcW w:w="4957" w:type="dxa"/>
          </w:tcPr>
          <w:p w14:paraId="486201C1" w14:textId="77777777" w:rsidR="009C3CB0" w:rsidRPr="003542CB" w:rsidRDefault="009C3CB0" w:rsidP="007B77E6">
            <w:pPr>
              <w:spacing w:before="60" w:after="60" w:line="280" w:lineRule="atLeast"/>
              <w:jc w:val="both"/>
              <w:rPr>
                <w:rFonts w:cstheme="minorHAnsi"/>
                <w:color w:val="000000" w:themeColor="text1"/>
                <w:sz w:val="24"/>
              </w:rPr>
            </w:pPr>
            <w:r w:rsidRPr="003542CB">
              <w:rPr>
                <w:rFonts w:cstheme="minorHAnsi"/>
                <w:color w:val="000000" w:themeColor="text1"/>
                <w:sz w:val="24"/>
              </w:rPr>
              <w:t>Neživotní upisovací riziko (v Kč)</w:t>
            </w:r>
          </w:p>
        </w:tc>
        <w:tc>
          <w:tcPr>
            <w:tcW w:w="3969" w:type="dxa"/>
          </w:tcPr>
          <w:p w14:paraId="72EA1DC8" w14:textId="08F1A2F3" w:rsidR="009C3CB0" w:rsidRPr="003542CB" w:rsidRDefault="009C3CB0" w:rsidP="007B77E6">
            <w:pPr>
              <w:spacing w:before="60" w:after="60" w:line="280" w:lineRule="atLeast"/>
              <w:jc w:val="center"/>
              <w:rPr>
                <w:rFonts w:cstheme="minorHAnsi"/>
                <w:color w:val="000000" w:themeColor="text1"/>
                <w:sz w:val="24"/>
              </w:rPr>
            </w:pPr>
            <w:r w:rsidRPr="003542CB">
              <w:rPr>
                <w:rFonts w:cstheme="minorHAnsi"/>
                <w:color w:val="000000" w:themeColor="text1"/>
                <w:sz w:val="24"/>
              </w:rPr>
              <w:t>12 801 636,00</w:t>
            </w:r>
          </w:p>
        </w:tc>
      </w:tr>
      <w:tr w:rsidR="009C3CB0" w:rsidRPr="003542CB" w14:paraId="02F76156" w14:textId="77777777" w:rsidTr="007B77E6">
        <w:tc>
          <w:tcPr>
            <w:tcW w:w="4957" w:type="dxa"/>
          </w:tcPr>
          <w:p w14:paraId="0A899813" w14:textId="77777777" w:rsidR="009C3CB0" w:rsidRPr="003542CB" w:rsidRDefault="009C3CB0" w:rsidP="007B77E6">
            <w:pPr>
              <w:spacing w:before="60" w:after="60" w:line="280" w:lineRule="atLeast"/>
              <w:jc w:val="both"/>
              <w:rPr>
                <w:rFonts w:cstheme="minorHAnsi"/>
                <w:color w:val="000000" w:themeColor="text1"/>
                <w:sz w:val="24"/>
              </w:rPr>
            </w:pPr>
            <w:r w:rsidRPr="003542CB">
              <w:rPr>
                <w:rFonts w:cstheme="minorHAnsi"/>
                <w:color w:val="000000" w:themeColor="text1"/>
                <w:sz w:val="24"/>
              </w:rPr>
              <w:t>Kreditní riziko (v Kč)</w:t>
            </w:r>
          </w:p>
        </w:tc>
        <w:tc>
          <w:tcPr>
            <w:tcW w:w="3969" w:type="dxa"/>
          </w:tcPr>
          <w:p w14:paraId="5B9BCC3F" w14:textId="0E177EFF" w:rsidR="009C3CB0" w:rsidRPr="003542CB" w:rsidRDefault="009C3CB0" w:rsidP="007B77E6">
            <w:pPr>
              <w:spacing w:before="60" w:after="60" w:line="280" w:lineRule="atLeast"/>
              <w:jc w:val="center"/>
              <w:rPr>
                <w:rFonts w:cstheme="minorHAnsi"/>
                <w:color w:val="000000" w:themeColor="text1"/>
                <w:sz w:val="24"/>
              </w:rPr>
            </w:pPr>
            <w:r w:rsidRPr="003542CB">
              <w:rPr>
                <w:rFonts w:cstheme="minorHAnsi"/>
                <w:color w:val="000000" w:themeColor="text1"/>
                <w:sz w:val="24"/>
              </w:rPr>
              <w:t>220 000,00</w:t>
            </w:r>
          </w:p>
        </w:tc>
      </w:tr>
      <w:tr w:rsidR="009C3CB0" w:rsidRPr="003542CB" w14:paraId="231B15A4" w14:textId="77777777" w:rsidTr="007B77E6">
        <w:tc>
          <w:tcPr>
            <w:tcW w:w="4957" w:type="dxa"/>
          </w:tcPr>
          <w:p w14:paraId="675DC88D" w14:textId="77777777" w:rsidR="009C3CB0" w:rsidRPr="003542CB" w:rsidRDefault="009C3CB0" w:rsidP="007B77E6">
            <w:pPr>
              <w:spacing w:before="60" w:after="60" w:line="280" w:lineRule="atLeast"/>
              <w:jc w:val="both"/>
              <w:rPr>
                <w:rFonts w:cstheme="minorHAnsi"/>
                <w:color w:val="000000" w:themeColor="text1"/>
                <w:sz w:val="24"/>
              </w:rPr>
            </w:pPr>
            <w:r w:rsidRPr="003542CB">
              <w:rPr>
                <w:rFonts w:cstheme="minorHAnsi"/>
                <w:color w:val="000000" w:themeColor="text1"/>
                <w:sz w:val="24"/>
              </w:rPr>
              <w:t>Tržní riziko (v Kč)</w:t>
            </w:r>
          </w:p>
        </w:tc>
        <w:tc>
          <w:tcPr>
            <w:tcW w:w="3969" w:type="dxa"/>
          </w:tcPr>
          <w:p w14:paraId="13E3BECA" w14:textId="7698D0A2" w:rsidR="009C3CB0" w:rsidRPr="003542CB" w:rsidRDefault="009C3CB0" w:rsidP="007B77E6">
            <w:pPr>
              <w:spacing w:before="60" w:after="60" w:line="280" w:lineRule="atLeast"/>
              <w:jc w:val="center"/>
              <w:rPr>
                <w:rFonts w:cstheme="minorHAnsi"/>
                <w:color w:val="000000" w:themeColor="text1"/>
                <w:sz w:val="24"/>
              </w:rPr>
            </w:pPr>
            <w:r w:rsidRPr="003542CB">
              <w:rPr>
                <w:rFonts w:cstheme="minorHAnsi"/>
                <w:color w:val="000000" w:themeColor="text1"/>
                <w:sz w:val="24"/>
              </w:rPr>
              <w:t>432 946,81</w:t>
            </w:r>
          </w:p>
        </w:tc>
      </w:tr>
      <w:tr w:rsidR="009C3CB0" w:rsidRPr="003542CB" w14:paraId="66C35389" w14:textId="77777777" w:rsidTr="007B77E6">
        <w:tc>
          <w:tcPr>
            <w:tcW w:w="4957" w:type="dxa"/>
          </w:tcPr>
          <w:p w14:paraId="6119E847" w14:textId="77777777" w:rsidR="009C3CB0" w:rsidRPr="003542CB" w:rsidRDefault="009C3CB0" w:rsidP="007B77E6">
            <w:pPr>
              <w:spacing w:before="60" w:after="60" w:line="280" w:lineRule="atLeast"/>
              <w:jc w:val="both"/>
              <w:rPr>
                <w:rFonts w:cstheme="minorHAnsi"/>
                <w:color w:val="000000" w:themeColor="text1"/>
                <w:sz w:val="24"/>
              </w:rPr>
            </w:pPr>
            <w:r w:rsidRPr="003542CB">
              <w:rPr>
                <w:rFonts w:cstheme="minorHAnsi"/>
                <w:color w:val="000000" w:themeColor="text1"/>
                <w:sz w:val="24"/>
              </w:rPr>
              <w:t>Operační riziko (v Kč)</w:t>
            </w:r>
          </w:p>
        </w:tc>
        <w:tc>
          <w:tcPr>
            <w:tcW w:w="3969" w:type="dxa"/>
          </w:tcPr>
          <w:p w14:paraId="39F0D25F" w14:textId="1FE88340" w:rsidR="009C3CB0" w:rsidRPr="003542CB" w:rsidRDefault="009C3CB0" w:rsidP="007B77E6">
            <w:pPr>
              <w:spacing w:before="60" w:after="60" w:line="280" w:lineRule="atLeast"/>
              <w:jc w:val="center"/>
              <w:rPr>
                <w:rFonts w:cstheme="minorHAnsi"/>
                <w:color w:val="000000" w:themeColor="text1"/>
                <w:sz w:val="24"/>
              </w:rPr>
            </w:pPr>
            <w:r w:rsidRPr="003542CB">
              <w:rPr>
                <w:rFonts w:cstheme="minorHAnsi"/>
                <w:color w:val="000000" w:themeColor="text1"/>
                <w:sz w:val="24"/>
              </w:rPr>
              <w:t>645 465,11</w:t>
            </w:r>
          </w:p>
        </w:tc>
      </w:tr>
    </w:tbl>
    <w:p w14:paraId="6E68A47B" w14:textId="77777777"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ab/>
      </w:r>
    </w:p>
    <w:p w14:paraId="3F7AEA3C" w14:textId="7403367C" w:rsidR="00AC1FEC" w:rsidRPr="003542CB" w:rsidRDefault="00AC1FEC" w:rsidP="00E3584D">
      <w:pPr>
        <w:spacing w:line="280" w:lineRule="atLeast"/>
        <w:jc w:val="both"/>
        <w:rPr>
          <w:rFonts w:cstheme="minorHAnsi"/>
          <w:color w:val="000000" w:themeColor="text1"/>
          <w:sz w:val="24"/>
        </w:rPr>
      </w:pPr>
      <w:bookmarkStart w:id="32" w:name="_Hlk35863875"/>
      <w:r w:rsidRPr="003542CB">
        <w:rPr>
          <w:rFonts w:cstheme="minorHAnsi"/>
          <w:color w:val="000000" w:themeColor="text1"/>
          <w:sz w:val="24"/>
        </w:rPr>
        <w:t xml:space="preserve">Vzhledem k vypočtené výši MCR byla jako hodnota MCR uvedena absolutní dolní mez MCR dle článku 129, odst. 1, písm. d směrnice Evropského parlamentu a rady 2009/138/ES, tedy hodnota 2 500 000 EUR přepočtena dle směnného kurzu k 31. 12. 2020 (tedy 65 612 </w:t>
      </w:r>
      <w:proofErr w:type="gramStart"/>
      <w:r w:rsidRPr="003542CB">
        <w:rPr>
          <w:rFonts w:cstheme="minorHAnsi"/>
          <w:color w:val="000000" w:themeColor="text1"/>
          <w:sz w:val="24"/>
        </w:rPr>
        <w:t>500,</w:t>
      </w:r>
      <w:r w:rsidRPr="003542CB">
        <w:rPr>
          <w:rFonts w:cstheme="minorHAnsi"/>
          <w:color w:val="000000" w:themeColor="text1"/>
          <w:sz w:val="24"/>
        </w:rPr>
        <w:noBreakHyphen/>
      </w:r>
      <w:proofErr w:type="gramEnd"/>
      <w:r w:rsidRPr="003542CB">
        <w:rPr>
          <w:rFonts w:cstheme="minorHAnsi"/>
          <w:color w:val="000000" w:themeColor="text1"/>
          <w:sz w:val="24"/>
        </w:rPr>
        <w:t xml:space="preserve"> Kč). Pro MCR byla vypočtená dolní mez </w:t>
      </w:r>
      <w:r w:rsidR="0047531E" w:rsidRPr="003542CB">
        <w:rPr>
          <w:rFonts w:cstheme="minorHAnsi"/>
          <w:color w:val="000000" w:themeColor="text1"/>
          <w:sz w:val="24"/>
        </w:rPr>
        <w:t xml:space="preserve">3 525 011,98 </w:t>
      </w:r>
      <w:r w:rsidRPr="003542CB">
        <w:rPr>
          <w:rFonts w:cstheme="minorHAnsi"/>
          <w:color w:val="000000" w:themeColor="text1"/>
          <w:sz w:val="24"/>
        </w:rPr>
        <w:t xml:space="preserve">Kč a horní mez </w:t>
      </w:r>
      <w:r w:rsidR="003E43C8" w:rsidRPr="003542CB">
        <w:rPr>
          <w:rFonts w:cstheme="minorHAnsi"/>
          <w:color w:val="000000" w:themeColor="text1"/>
          <w:sz w:val="24"/>
        </w:rPr>
        <w:t xml:space="preserve">6 345 021,57 </w:t>
      </w:r>
      <w:r w:rsidRPr="003542CB">
        <w:rPr>
          <w:rFonts w:cstheme="minorHAnsi"/>
          <w:color w:val="000000" w:themeColor="text1"/>
          <w:sz w:val="24"/>
        </w:rPr>
        <w:t xml:space="preserve">Kč. Z toho je tedy patrné, že vypočtený MCR je hluboko pod hladinou absolutní dolní meze stanovené Směrnicí 2009/138/ES. Stejně jako vypočtený SCR ve výši </w:t>
      </w:r>
      <w:r w:rsidR="00AF218D" w:rsidRPr="003542CB">
        <w:rPr>
          <w:rFonts w:cstheme="minorHAnsi"/>
          <w:color w:val="000000" w:themeColor="text1"/>
          <w:sz w:val="24"/>
        </w:rPr>
        <w:t xml:space="preserve">14 100 047,93 </w:t>
      </w:r>
      <w:r w:rsidRPr="003542CB">
        <w:rPr>
          <w:rFonts w:cstheme="minorHAnsi"/>
          <w:color w:val="000000" w:themeColor="text1"/>
          <w:sz w:val="24"/>
        </w:rPr>
        <w:t>Kč.</w:t>
      </w:r>
      <w:bookmarkEnd w:id="32"/>
    </w:p>
    <w:p w14:paraId="6978DAD5" w14:textId="3A4E22C4"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 xml:space="preserve">Pojišťovna je povinna držet kapitál pro splnění SCR i MCR. K 31. 12. 2020 činil použitelný kapitál použitelný pro splnění SCR i MCR částku </w:t>
      </w:r>
      <w:r w:rsidRPr="003542CB">
        <w:rPr>
          <w:rFonts w:cstheme="minorHAnsi"/>
          <w:color w:val="000000" w:themeColor="text1"/>
          <w:sz w:val="24"/>
          <w:szCs w:val="24"/>
        </w:rPr>
        <w:t>14</w:t>
      </w:r>
      <w:r w:rsidR="00F25861" w:rsidRPr="003542CB">
        <w:rPr>
          <w:rFonts w:cstheme="minorHAnsi"/>
          <w:color w:val="000000" w:themeColor="text1"/>
          <w:sz w:val="24"/>
          <w:szCs w:val="24"/>
        </w:rPr>
        <w:t>0 948</w:t>
      </w:r>
      <w:r w:rsidRPr="003542CB">
        <w:rPr>
          <w:rFonts w:cstheme="minorHAnsi"/>
          <w:color w:val="000000" w:themeColor="text1"/>
          <w:sz w:val="24"/>
          <w:szCs w:val="24"/>
        </w:rPr>
        <w:t xml:space="preserve"> tis.</w:t>
      </w:r>
      <w:r w:rsidRPr="003542CB">
        <w:rPr>
          <w:rFonts w:cstheme="minorHAnsi"/>
          <w:color w:val="000000" w:themeColor="text1"/>
          <w:sz w:val="24"/>
        </w:rPr>
        <w:t xml:space="preserve"> Kč. </w:t>
      </w:r>
      <w:proofErr w:type="spellStart"/>
      <w:r w:rsidRPr="003542CB">
        <w:rPr>
          <w:rFonts w:cstheme="minorHAnsi"/>
          <w:color w:val="000000" w:themeColor="text1"/>
          <w:sz w:val="24"/>
        </w:rPr>
        <w:t>Solventnostní</w:t>
      </w:r>
      <w:proofErr w:type="spellEnd"/>
      <w:r w:rsidRPr="003542CB">
        <w:rPr>
          <w:rFonts w:cstheme="minorHAnsi"/>
          <w:color w:val="000000" w:themeColor="text1"/>
          <w:sz w:val="24"/>
        </w:rPr>
        <w:t xml:space="preserve"> kapitálový požadavek byl tedy převýšen více než osmkrát, minimální kapitálový požadavek pak i při uvažované hodnotě na hranici absolutní dolní meze byl převýšen více než dvakrát.</w:t>
      </w:r>
    </w:p>
    <w:p w14:paraId="5C7011D1" w14:textId="62988C72"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Ve sledovaném období nedošlo k překročení SCR nebo MCR v tom smyslu, že nedošlo k poklesu hodnoty použitelného kapitálu pro jejich splnění pod výši vypočteného SCR nebo legislativou stanoveného MCR.</w:t>
      </w:r>
    </w:p>
    <w:p w14:paraId="5268631B" w14:textId="1150EA0D" w:rsidR="00AC1FEC" w:rsidRPr="003542CB" w:rsidRDefault="00AC1FEC" w:rsidP="00E3584D">
      <w:pPr>
        <w:spacing w:line="280" w:lineRule="atLeast"/>
        <w:jc w:val="both"/>
        <w:rPr>
          <w:rFonts w:cstheme="minorHAnsi"/>
          <w:color w:val="000000" w:themeColor="text1"/>
          <w:sz w:val="24"/>
        </w:rPr>
      </w:pPr>
      <w:r w:rsidRPr="003542CB">
        <w:rPr>
          <w:rFonts w:cstheme="minorHAnsi"/>
          <w:color w:val="000000" w:themeColor="text1"/>
          <w:sz w:val="24"/>
        </w:rPr>
        <w:t xml:space="preserve">Ve střednědobém horizontu není očekáváno, že by SCR dosáhl nebo překročil hodnotu MCR. Pro Pojišťovnu tedy zůstane prioritní legislativou stanovená výše MCR, který stanovuje minimální výši použitelného kapitálu, který musí Pojišťovna držet.    </w:t>
      </w:r>
    </w:p>
    <w:p w14:paraId="51C5F25F" w14:textId="09AED708" w:rsidR="00410551" w:rsidRPr="003542CB" w:rsidRDefault="00410551" w:rsidP="00E3584D">
      <w:pPr>
        <w:spacing w:line="280" w:lineRule="atLeast"/>
        <w:rPr>
          <w:rFonts w:cstheme="minorHAnsi"/>
          <w:color w:val="000000" w:themeColor="text1"/>
          <w:sz w:val="24"/>
        </w:rPr>
      </w:pPr>
    </w:p>
    <w:p w14:paraId="31F00B71" w14:textId="77777777" w:rsidR="00AE2B74" w:rsidRPr="003542CB" w:rsidRDefault="00AE2B74" w:rsidP="0010580D">
      <w:pPr>
        <w:pStyle w:val="Nadpis2"/>
        <w:spacing w:after="120" w:line="280" w:lineRule="atLeast"/>
        <w:rPr>
          <w:rFonts w:asciiTheme="minorHAnsi" w:hAnsiTheme="minorHAnsi" w:cstheme="minorHAnsi"/>
          <w:b/>
          <w:color w:val="000000" w:themeColor="text1"/>
        </w:rPr>
      </w:pPr>
      <w:bookmarkStart w:id="33" w:name="_Toc75366901"/>
      <w:r w:rsidRPr="003542CB">
        <w:rPr>
          <w:rFonts w:asciiTheme="minorHAnsi" w:hAnsiTheme="minorHAnsi" w:cstheme="minorHAnsi"/>
          <w:b/>
          <w:color w:val="000000" w:themeColor="text1"/>
        </w:rPr>
        <w:t>7.2. Struktura kapitálu</w:t>
      </w:r>
      <w:bookmarkEnd w:id="33"/>
    </w:p>
    <w:p w14:paraId="01D0BA83" w14:textId="682FB921" w:rsidR="00763A98" w:rsidRPr="003542CB" w:rsidRDefault="00763A98"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V roce 2020 disponovala Pojišťovna základním kapitálem ve výši 90,93 mil. Kč, který je dlouhodobě konstantní a pro pojistná odvětví, ve kterých je Pojišťovna aktivní, je z pohledu legislativy plně postačující. </w:t>
      </w:r>
    </w:p>
    <w:p w14:paraId="3F8FE258" w14:textId="77777777" w:rsidR="00763A98" w:rsidRPr="003542CB" w:rsidRDefault="00763A98" w:rsidP="0010580D">
      <w:pPr>
        <w:spacing w:line="280" w:lineRule="atLeast"/>
        <w:jc w:val="both"/>
        <w:rPr>
          <w:rFonts w:cstheme="minorHAnsi"/>
          <w:color w:val="000000" w:themeColor="text1"/>
          <w:sz w:val="24"/>
          <w:szCs w:val="24"/>
        </w:rPr>
      </w:pPr>
      <w:r w:rsidRPr="003542CB">
        <w:rPr>
          <w:rFonts w:cstheme="minorHAnsi"/>
          <w:color w:val="000000" w:themeColor="text1"/>
          <w:sz w:val="24"/>
          <w:szCs w:val="24"/>
        </w:rPr>
        <w:t>Celková finanční aktiva Pojišťovny dosáhla ke konci roku 2020 částky 174,6 mil. Kč. Struktura finančních aktiv v roce 2020 je znázorněna v grafu č. 2.</w:t>
      </w:r>
    </w:p>
    <w:p w14:paraId="15B0CBE8" w14:textId="77777777" w:rsidR="0010580D" w:rsidRDefault="0010580D">
      <w:pPr>
        <w:rPr>
          <w:rFonts w:cstheme="minorHAnsi"/>
          <w:color w:val="000000" w:themeColor="text1"/>
          <w:sz w:val="24"/>
        </w:rPr>
      </w:pPr>
      <w:r>
        <w:rPr>
          <w:rFonts w:cstheme="minorHAnsi"/>
          <w:color w:val="000000" w:themeColor="text1"/>
          <w:sz w:val="24"/>
        </w:rPr>
        <w:br w:type="page"/>
      </w:r>
    </w:p>
    <w:p w14:paraId="0DEB3100" w14:textId="7563EE10" w:rsidR="00763A98" w:rsidRPr="003542CB" w:rsidRDefault="00763A98" w:rsidP="00E3584D">
      <w:pPr>
        <w:spacing w:line="280" w:lineRule="atLeast"/>
        <w:rPr>
          <w:rFonts w:cstheme="minorHAnsi"/>
          <w:color w:val="000000" w:themeColor="text1"/>
          <w:sz w:val="24"/>
        </w:rPr>
      </w:pPr>
      <w:r w:rsidRPr="003542CB">
        <w:rPr>
          <w:rFonts w:cstheme="minorHAnsi"/>
          <w:color w:val="000000" w:themeColor="text1"/>
          <w:sz w:val="24"/>
        </w:rPr>
        <w:lastRenderedPageBreak/>
        <w:t>Graf č. 2 – Struktura kapitálu k 31.12.2020 (v tis. Kč)</w:t>
      </w:r>
    </w:p>
    <w:p w14:paraId="12C38E1E" w14:textId="5F97F421" w:rsidR="00763A98" w:rsidRPr="003542CB" w:rsidRDefault="006076D9" w:rsidP="0010580D">
      <w:pPr>
        <w:spacing w:line="280" w:lineRule="atLeast"/>
        <w:jc w:val="center"/>
        <w:rPr>
          <w:rFonts w:cstheme="minorHAnsi"/>
          <w:color w:val="000000" w:themeColor="text1"/>
          <w:sz w:val="24"/>
        </w:rPr>
      </w:pPr>
      <w:r w:rsidRPr="003542CB">
        <w:rPr>
          <w:rFonts w:cstheme="minorHAnsi"/>
          <w:noProof/>
          <w:color w:val="000000" w:themeColor="text1"/>
          <w:sz w:val="24"/>
          <w:lang w:eastAsia="cs-CZ"/>
        </w:rPr>
        <w:drawing>
          <wp:inline distT="0" distB="0" distL="0" distR="0" wp14:anchorId="637D791E" wp14:editId="74F07FD0">
            <wp:extent cx="4648849" cy="2829320"/>
            <wp:effectExtent l="19050" t="19050" r="18415" b="285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849" cy="2829320"/>
                    </a:xfrm>
                    <a:prstGeom prst="rect">
                      <a:avLst/>
                    </a:prstGeom>
                    <a:ln>
                      <a:solidFill>
                        <a:schemeClr val="accent2"/>
                      </a:solidFill>
                    </a:ln>
                  </pic:spPr>
                </pic:pic>
              </a:graphicData>
            </a:graphic>
          </wp:inline>
        </w:drawing>
      </w:r>
    </w:p>
    <w:p w14:paraId="732FC274" w14:textId="6A7EFF4F" w:rsidR="00763A98" w:rsidRPr="003542CB" w:rsidRDefault="00763A98" w:rsidP="0010580D">
      <w:pPr>
        <w:spacing w:line="280" w:lineRule="atLeast"/>
        <w:jc w:val="both"/>
        <w:rPr>
          <w:rFonts w:cstheme="minorHAnsi"/>
          <w:color w:val="000000" w:themeColor="text1"/>
          <w:sz w:val="24"/>
          <w:szCs w:val="24"/>
        </w:rPr>
      </w:pPr>
      <w:bookmarkStart w:id="34" w:name="_Hlk35817881"/>
      <w:r w:rsidRPr="003542CB">
        <w:rPr>
          <w:rFonts w:cstheme="minorHAnsi"/>
          <w:color w:val="000000" w:themeColor="text1"/>
          <w:sz w:val="24"/>
          <w:szCs w:val="24"/>
        </w:rPr>
        <w:t xml:space="preserve">Z pohledu likvidity je kapitál rozmístěn do tří základních kategorií, konkrétně jsou to peníze a ekvivalenty hotovosti, cenné papíry a termínované vklady. Peníze a ekvivalenty hotovosti ve výši 21 </w:t>
      </w:r>
      <w:r w:rsidR="00270D6E" w:rsidRPr="003542CB">
        <w:rPr>
          <w:rFonts w:cstheme="minorHAnsi"/>
          <w:color w:val="000000" w:themeColor="text1"/>
          <w:sz w:val="24"/>
          <w:szCs w:val="24"/>
        </w:rPr>
        <w:t>772</w:t>
      </w:r>
      <w:r w:rsidRPr="003542CB">
        <w:rPr>
          <w:rFonts w:cstheme="minorHAnsi"/>
          <w:color w:val="000000" w:themeColor="text1"/>
          <w:sz w:val="24"/>
          <w:szCs w:val="24"/>
        </w:rPr>
        <w:t xml:space="preserve"> tis. Kč jsou diverzifikovány mezi tři stabilní bankovní ústavy a nejmenší část je v podobě hotovosti. Tato kategorie slouží k plnění provozních povinností a je k dispozici okamžitě. </w:t>
      </w:r>
    </w:p>
    <w:p w14:paraId="0A43C6C4" w14:textId="77777777" w:rsidR="00763A98" w:rsidRPr="003542CB" w:rsidRDefault="00763A98" w:rsidP="0010580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Druhou kategorií jsou cenné papíry, kde je celá částka ve výši 11 703 tis. Kč investována v českých státních dluhopisech držených do splatnosti. </w:t>
      </w:r>
    </w:p>
    <w:p w14:paraId="652D12F6" w14:textId="20796BE9" w:rsidR="00763A98" w:rsidRPr="003542CB" w:rsidRDefault="00763A98" w:rsidP="0010580D">
      <w:pPr>
        <w:spacing w:line="280" w:lineRule="atLeast"/>
        <w:jc w:val="both"/>
        <w:rPr>
          <w:rFonts w:cstheme="minorHAnsi"/>
          <w:color w:val="000000" w:themeColor="text1"/>
          <w:sz w:val="24"/>
          <w:szCs w:val="24"/>
        </w:rPr>
      </w:pPr>
      <w:r w:rsidRPr="003542CB">
        <w:rPr>
          <w:rFonts w:cstheme="minorHAnsi"/>
          <w:color w:val="000000" w:themeColor="text1"/>
          <w:sz w:val="24"/>
          <w:szCs w:val="24"/>
        </w:rPr>
        <w:t>Třetí a poslední kategorií umístění finančního kapitálu jsou termínované vklady</w:t>
      </w:r>
      <w:r w:rsidR="00447BBD">
        <w:rPr>
          <w:rFonts w:cstheme="minorHAnsi"/>
          <w:color w:val="000000" w:themeColor="text1"/>
          <w:sz w:val="24"/>
          <w:szCs w:val="24"/>
        </w:rPr>
        <w:t xml:space="preserve">. </w:t>
      </w:r>
      <w:r w:rsidRPr="003542CB">
        <w:rPr>
          <w:rFonts w:cstheme="minorHAnsi"/>
          <w:color w:val="000000" w:themeColor="text1"/>
          <w:sz w:val="24"/>
          <w:szCs w:val="24"/>
        </w:rPr>
        <w:t>Ty jsou stejně jako první kategorie diverzifikovány mezi tři bankovní ústavy a jsou v celkové výši 1</w:t>
      </w:r>
      <w:r w:rsidR="006C5CDB" w:rsidRPr="003542CB">
        <w:rPr>
          <w:rFonts w:cstheme="minorHAnsi"/>
          <w:color w:val="000000" w:themeColor="text1"/>
          <w:sz w:val="24"/>
          <w:szCs w:val="24"/>
        </w:rPr>
        <w:t>41</w:t>
      </w:r>
      <w:r w:rsidRPr="003542CB">
        <w:rPr>
          <w:rFonts w:cstheme="minorHAnsi"/>
          <w:color w:val="000000" w:themeColor="text1"/>
          <w:sz w:val="24"/>
          <w:szCs w:val="24"/>
        </w:rPr>
        <w:t xml:space="preserve"> </w:t>
      </w:r>
      <w:r w:rsidR="006C5CDB" w:rsidRPr="003542CB">
        <w:rPr>
          <w:rFonts w:cstheme="minorHAnsi"/>
          <w:color w:val="000000" w:themeColor="text1"/>
          <w:sz w:val="24"/>
          <w:szCs w:val="24"/>
        </w:rPr>
        <w:t>285</w:t>
      </w:r>
      <w:r w:rsidRPr="003542CB">
        <w:rPr>
          <w:rFonts w:cstheme="minorHAnsi"/>
          <w:color w:val="000000" w:themeColor="text1"/>
          <w:sz w:val="24"/>
          <w:szCs w:val="24"/>
        </w:rPr>
        <w:t xml:space="preserve"> tis. Kč.</w:t>
      </w:r>
      <w:r w:rsidRPr="003542CB">
        <w:rPr>
          <w:rFonts w:cstheme="minorHAnsi"/>
          <w:color w:val="000000" w:themeColor="text1"/>
          <w:sz w:val="24"/>
          <w:szCs w:val="24"/>
        </w:rPr>
        <w:tab/>
      </w:r>
    </w:p>
    <w:p w14:paraId="0D3D4555" w14:textId="09DE20FA" w:rsidR="00763A98" w:rsidRPr="003542CB" w:rsidRDefault="00763A98"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Dle pravidel </w:t>
      </w:r>
      <w:proofErr w:type="spellStart"/>
      <w:r w:rsidRPr="003542CB">
        <w:rPr>
          <w:rFonts w:cstheme="minorHAnsi"/>
          <w:color w:val="000000" w:themeColor="text1"/>
          <w:sz w:val="24"/>
          <w:szCs w:val="24"/>
        </w:rPr>
        <w:t>Solvency</w:t>
      </w:r>
      <w:proofErr w:type="spellEnd"/>
      <w:r w:rsidRPr="003542CB">
        <w:rPr>
          <w:rFonts w:cstheme="minorHAnsi"/>
          <w:color w:val="000000" w:themeColor="text1"/>
          <w:sz w:val="24"/>
          <w:szCs w:val="24"/>
        </w:rPr>
        <w:t xml:space="preserve"> II je kapitál (rozdíl celkových aktiv a závazků) řazen do tří tříd podle jejich míry dostupnosti a podřízenosti. Výše kapitálu k 31. 12. 2020 byla 14</w:t>
      </w:r>
      <w:r w:rsidR="006C5CDB" w:rsidRPr="003542CB">
        <w:rPr>
          <w:rFonts w:cstheme="minorHAnsi"/>
          <w:color w:val="000000" w:themeColor="text1"/>
          <w:sz w:val="24"/>
          <w:szCs w:val="24"/>
        </w:rPr>
        <w:t>0 948</w:t>
      </w:r>
      <w:r w:rsidRPr="003542CB">
        <w:rPr>
          <w:rFonts w:cstheme="minorHAnsi"/>
          <w:color w:val="000000" w:themeColor="text1"/>
          <w:sz w:val="24"/>
          <w:szCs w:val="24"/>
        </w:rPr>
        <w:t xml:space="preserve"> tis.</w:t>
      </w:r>
      <w:r w:rsidRPr="003542CB">
        <w:rPr>
          <w:rFonts w:cstheme="minorHAnsi"/>
          <w:color w:val="FF0000"/>
          <w:sz w:val="24"/>
          <w:szCs w:val="24"/>
        </w:rPr>
        <w:t> </w:t>
      </w:r>
      <w:r w:rsidRPr="003542CB">
        <w:rPr>
          <w:rFonts w:cstheme="minorHAnsi"/>
          <w:color w:val="000000" w:themeColor="text1"/>
          <w:sz w:val="24"/>
          <w:szCs w:val="24"/>
        </w:rPr>
        <w:t>Kč a celý kapitál byl zařazen ve třídě 1. Jedná se tedy o primární kapitál, který je stále dostupný, je možné si jej vyžádat na absorbování ztrát při plném pokračování činnosti a je k dispozici v případě nutnosti absorpce ztrát v celé své výši.</w:t>
      </w:r>
    </w:p>
    <w:bookmarkEnd w:id="34"/>
    <w:p w14:paraId="7E8B4D9C" w14:textId="029978D1" w:rsidR="00FC3C5F" w:rsidRPr="003542CB" w:rsidRDefault="00FC3C5F" w:rsidP="00E3584D">
      <w:pPr>
        <w:spacing w:line="280" w:lineRule="atLeast"/>
        <w:jc w:val="both"/>
        <w:rPr>
          <w:rFonts w:cstheme="minorHAnsi"/>
          <w:color w:val="000000" w:themeColor="text1"/>
          <w:sz w:val="24"/>
          <w:szCs w:val="24"/>
        </w:rPr>
      </w:pPr>
    </w:p>
    <w:p w14:paraId="0187D307" w14:textId="3FF48822" w:rsidR="00DD3C13" w:rsidRPr="0010580D" w:rsidRDefault="00DC4BF8" w:rsidP="0010580D">
      <w:pPr>
        <w:pStyle w:val="Nadpis2"/>
        <w:spacing w:after="120" w:line="280" w:lineRule="atLeast"/>
        <w:rPr>
          <w:rFonts w:asciiTheme="minorHAnsi" w:hAnsiTheme="minorHAnsi" w:cstheme="minorHAnsi"/>
          <w:b/>
          <w:color w:val="000000" w:themeColor="text1"/>
        </w:rPr>
      </w:pPr>
      <w:bookmarkStart w:id="35" w:name="_Toc482699903"/>
      <w:bookmarkStart w:id="36" w:name="_Toc75366902"/>
      <w:r w:rsidRPr="003542CB">
        <w:rPr>
          <w:rFonts w:asciiTheme="minorHAnsi" w:hAnsiTheme="minorHAnsi" w:cstheme="minorHAnsi"/>
          <w:b/>
          <w:color w:val="000000" w:themeColor="text1"/>
        </w:rPr>
        <w:t>7.3. Prospektivní informace o kapitálu</w:t>
      </w:r>
      <w:bookmarkEnd w:id="35"/>
      <w:bookmarkEnd w:id="36"/>
    </w:p>
    <w:p w14:paraId="5C4AAD7D" w14:textId="29A3BF35" w:rsidR="00741127" w:rsidRPr="003542CB" w:rsidRDefault="00741127" w:rsidP="00E3584D">
      <w:pPr>
        <w:spacing w:line="280" w:lineRule="atLeast"/>
        <w:jc w:val="both"/>
        <w:rPr>
          <w:rFonts w:cstheme="minorHAnsi"/>
          <w:color w:val="000000" w:themeColor="text1"/>
          <w:sz w:val="24"/>
          <w:szCs w:val="24"/>
        </w:rPr>
      </w:pPr>
      <w:bookmarkStart w:id="37" w:name="_Toc40346172"/>
      <w:r w:rsidRPr="003542CB">
        <w:rPr>
          <w:rFonts w:cstheme="minorHAnsi"/>
          <w:color w:val="000000" w:themeColor="text1"/>
          <w:sz w:val="24"/>
          <w:szCs w:val="24"/>
        </w:rPr>
        <w:t xml:space="preserve">V termínu vyhotovení této zprávy je Pojišťovně známý fakt, že jediný akcionář OZP rozhodl o ponechání zisku z roku 2020 ve výši 709 tis. Kč v Pojišťovně a přiřazení této částky do nerozděleného zisku minulých let. </w:t>
      </w:r>
    </w:p>
    <w:p w14:paraId="37EE74C5" w14:textId="09EB2A6D" w:rsidR="00741127" w:rsidRPr="003542CB" w:rsidRDefault="00741127" w:rsidP="00E3584D">
      <w:pPr>
        <w:spacing w:line="280" w:lineRule="atLeast"/>
        <w:jc w:val="both"/>
        <w:rPr>
          <w:rFonts w:cstheme="minorHAnsi"/>
          <w:color w:val="000000" w:themeColor="text1"/>
          <w:sz w:val="24"/>
          <w:szCs w:val="24"/>
        </w:rPr>
      </w:pPr>
      <w:bookmarkStart w:id="38" w:name="_Hlk40440162"/>
      <w:r w:rsidRPr="003542CB">
        <w:rPr>
          <w:rFonts w:cstheme="minorHAnsi"/>
          <w:color w:val="000000" w:themeColor="text1"/>
          <w:sz w:val="24"/>
          <w:szCs w:val="24"/>
        </w:rPr>
        <w:t xml:space="preserve">V souvislosti s pandemií </w:t>
      </w:r>
      <w:proofErr w:type="spellStart"/>
      <w:r w:rsidRPr="003542CB">
        <w:rPr>
          <w:rFonts w:cstheme="minorHAnsi"/>
          <w:color w:val="000000" w:themeColor="text1"/>
          <w:sz w:val="24"/>
          <w:szCs w:val="24"/>
        </w:rPr>
        <w:t>koronaviru</w:t>
      </w:r>
      <w:proofErr w:type="spellEnd"/>
      <w:r w:rsidRPr="003542CB">
        <w:rPr>
          <w:rFonts w:cstheme="minorHAnsi"/>
          <w:color w:val="000000" w:themeColor="text1"/>
          <w:sz w:val="24"/>
          <w:szCs w:val="24"/>
        </w:rPr>
        <w:t xml:space="preserve"> SARS-CoV-2 bude Pojišťovna dále monitorovat situaci a případné možnosti refundace, na které by měla nárok a které by pomohly zmírnit dopad této </w:t>
      </w:r>
      <w:r w:rsidR="00872DA1" w:rsidRPr="003542CB">
        <w:rPr>
          <w:rFonts w:cstheme="minorHAnsi"/>
          <w:color w:val="000000" w:themeColor="text1"/>
          <w:sz w:val="24"/>
          <w:szCs w:val="24"/>
        </w:rPr>
        <w:t xml:space="preserve">pandemie </w:t>
      </w:r>
      <w:r w:rsidRPr="003542CB">
        <w:rPr>
          <w:rFonts w:cstheme="minorHAnsi"/>
          <w:color w:val="000000" w:themeColor="text1"/>
          <w:sz w:val="24"/>
          <w:szCs w:val="24"/>
        </w:rPr>
        <w:t xml:space="preserve">na kapitálovou vybavenost. Vzhledem k bezpečné výši kapitálu však není předpokládáno, že by ztráta způsobená touto pandemií měla Pojišťovnu ohrozit a mělo dojít k ohrožení business </w:t>
      </w:r>
      <w:proofErr w:type="spellStart"/>
      <w:r w:rsidRPr="003542CB">
        <w:rPr>
          <w:rFonts w:cstheme="minorHAnsi"/>
          <w:color w:val="000000" w:themeColor="text1"/>
          <w:sz w:val="24"/>
          <w:szCs w:val="24"/>
        </w:rPr>
        <w:t>continuity</w:t>
      </w:r>
      <w:proofErr w:type="spellEnd"/>
      <w:r w:rsidRPr="003542CB">
        <w:rPr>
          <w:rFonts w:cstheme="minorHAnsi"/>
          <w:color w:val="000000" w:themeColor="text1"/>
          <w:sz w:val="24"/>
          <w:szCs w:val="24"/>
        </w:rPr>
        <w:t>. Přesto, že je pro rok 2021 plánovaný záporný hospodářský výsledek, není očekávaný zásadní dopad na výši disponibilního kapitálu, který se i tak bude pohybovat ve velmi bezpečné výši a kapitálová pozice Pojišťovny je očekávána i nadále dostatečně silná a stabilní. Stejně tak je i nadále očekávána více než dostačující výše disponibilního kapitálu na pokrytí SCR i legislativou dané absolutní dolní meze MCR.</w:t>
      </w:r>
      <w:bookmarkEnd w:id="38"/>
    </w:p>
    <w:p w14:paraId="084FC31E" w14:textId="77777777" w:rsidR="00741127" w:rsidRPr="003542CB" w:rsidRDefault="00741127" w:rsidP="00E3584D">
      <w:pPr>
        <w:spacing w:line="280" w:lineRule="atLeast"/>
        <w:jc w:val="both"/>
        <w:rPr>
          <w:rFonts w:cstheme="minorHAnsi"/>
          <w:color w:val="000000" w:themeColor="text1"/>
          <w:sz w:val="24"/>
          <w:szCs w:val="24"/>
        </w:rPr>
      </w:pPr>
    </w:p>
    <w:p w14:paraId="639E0FD2" w14:textId="6AF599B6" w:rsidR="0017410E" w:rsidRPr="003542CB" w:rsidRDefault="0017410E" w:rsidP="003C4BAC">
      <w:pPr>
        <w:pStyle w:val="Nadpis2"/>
        <w:spacing w:after="120" w:line="280" w:lineRule="atLeast"/>
        <w:rPr>
          <w:rFonts w:asciiTheme="minorHAnsi" w:hAnsiTheme="minorHAnsi" w:cstheme="minorHAnsi"/>
          <w:b/>
          <w:color w:val="000000" w:themeColor="text1"/>
        </w:rPr>
      </w:pPr>
      <w:bookmarkStart w:id="39" w:name="_Toc75366903"/>
      <w:r w:rsidRPr="003542CB">
        <w:rPr>
          <w:rFonts w:asciiTheme="minorHAnsi" w:hAnsiTheme="minorHAnsi" w:cstheme="minorHAnsi"/>
          <w:b/>
          <w:color w:val="000000" w:themeColor="text1"/>
        </w:rPr>
        <w:lastRenderedPageBreak/>
        <w:t>7.4. Výhled pro rok 202</w:t>
      </w:r>
      <w:r w:rsidR="0047764A" w:rsidRPr="003542CB">
        <w:rPr>
          <w:rFonts w:asciiTheme="minorHAnsi" w:hAnsiTheme="minorHAnsi" w:cstheme="minorHAnsi"/>
          <w:b/>
          <w:color w:val="000000" w:themeColor="text1"/>
        </w:rPr>
        <w:t>1</w:t>
      </w:r>
      <w:r w:rsidRPr="003542CB">
        <w:rPr>
          <w:rFonts w:asciiTheme="minorHAnsi" w:hAnsiTheme="minorHAnsi" w:cstheme="minorHAnsi"/>
          <w:b/>
          <w:color w:val="000000" w:themeColor="text1"/>
        </w:rPr>
        <w:t xml:space="preserve"> v souvislosti s pandemií </w:t>
      </w:r>
      <w:proofErr w:type="spellStart"/>
      <w:r w:rsidRPr="003542CB">
        <w:rPr>
          <w:rFonts w:asciiTheme="minorHAnsi" w:hAnsiTheme="minorHAnsi" w:cstheme="minorHAnsi"/>
          <w:b/>
          <w:color w:val="000000" w:themeColor="text1"/>
        </w:rPr>
        <w:t>koronaviru</w:t>
      </w:r>
      <w:proofErr w:type="spellEnd"/>
      <w:r w:rsidRPr="003542CB">
        <w:rPr>
          <w:rFonts w:asciiTheme="minorHAnsi" w:hAnsiTheme="minorHAnsi" w:cstheme="minorHAnsi"/>
          <w:b/>
          <w:color w:val="000000" w:themeColor="text1"/>
        </w:rPr>
        <w:t xml:space="preserve"> SARS-Cov-2</w:t>
      </w:r>
      <w:bookmarkEnd w:id="37"/>
      <w:bookmarkEnd w:id="39"/>
    </w:p>
    <w:p w14:paraId="4ABF4440" w14:textId="081959AF" w:rsidR="00E66F65" w:rsidRPr="003542CB" w:rsidRDefault="00E66F65"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I pro rok 2021 bude hospodaření Pojišťovny zcela zásadně ovlivněno pandemií </w:t>
      </w:r>
      <w:proofErr w:type="spellStart"/>
      <w:r w:rsidRPr="003542CB">
        <w:rPr>
          <w:rFonts w:cstheme="minorHAnsi"/>
          <w:color w:val="000000" w:themeColor="text1"/>
          <w:sz w:val="24"/>
          <w:szCs w:val="24"/>
        </w:rPr>
        <w:t>koronaviru</w:t>
      </w:r>
      <w:proofErr w:type="spellEnd"/>
      <w:r w:rsidRPr="003542CB">
        <w:rPr>
          <w:rFonts w:cstheme="minorHAnsi"/>
          <w:color w:val="000000" w:themeColor="text1"/>
          <w:sz w:val="24"/>
          <w:szCs w:val="24"/>
        </w:rPr>
        <w:t>. Cestovní pojištění je nadále stěžejní produkt Pojišťovny a je zřejmé, že tento produkt je velmi významně zasažen omezeními spojenými s cestovním ruchem.</w:t>
      </w:r>
    </w:p>
    <w:p w14:paraId="26AA3A5F" w14:textId="0628A623" w:rsidR="00E66F65" w:rsidRPr="003542CB" w:rsidRDefault="00E66F65"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Pozitivní zprávou je, že se Pojišťovně dařilo ve spolupráci s OZP navyšovat předepsané pojistné u úrazového pojištění, byť toto samozřejmě není schopné nahradit výpadek v cestovním pojištění.</w:t>
      </w:r>
    </w:p>
    <w:p w14:paraId="6B8E104C" w14:textId="0BE7161C" w:rsidR="00E66F65" w:rsidRPr="003542CB" w:rsidRDefault="00E66F65" w:rsidP="003C4BAC">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Původní odhady poklesu cestovního pojištění v roce 2020, které </w:t>
      </w:r>
      <w:r w:rsidR="00872DA1" w:rsidRPr="003542CB">
        <w:rPr>
          <w:rFonts w:cstheme="minorHAnsi"/>
          <w:color w:val="000000" w:themeColor="text1"/>
          <w:sz w:val="24"/>
          <w:szCs w:val="24"/>
        </w:rPr>
        <w:t xml:space="preserve">předpokládaly </w:t>
      </w:r>
      <w:r w:rsidRPr="003542CB">
        <w:rPr>
          <w:rFonts w:cstheme="minorHAnsi"/>
          <w:color w:val="000000" w:themeColor="text1"/>
          <w:sz w:val="24"/>
          <w:szCs w:val="24"/>
        </w:rPr>
        <w:t>propad až 75 %</w:t>
      </w:r>
      <w:r w:rsidR="00872DA1" w:rsidRPr="003542CB">
        <w:rPr>
          <w:rFonts w:cstheme="minorHAnsi"/>
          <w:color w:val="000000" w:themeColor="text1"/>
          <w:sz w:val="24"/>
          <w:szCs w:val="24"/>
        </w:rPr>
        <w:t>,</w:t>
      </w:r>
      <w:r w:rsidRPr="003542CB">
        <w:rPr>
          <w:rFonts w:cstheme="minorHAnsi"/>
          <w:color w:val="000000" w:themeColor="text1"/>
          <w:sz w:val="24"/>
          <w:szCs w:val="24"/>
        </w:rPr>
        <w:t xml:space="preserve"> se nakonec ukázaly příliš pesimistické, když tento propad činil 53 %. Aktuální plán hospodaření, schválený jediným akcionářem, počítá s růstem cestovního pojištění v porovnání s rokem 2020. Přesto, že začátek roku 2021 se pohybuje pod plánem, zásadní pro roční výsledek bude letní sezona, tedy červen až září</w:t>
      </w:r>
      <w:r w:rsidR="00872DA1" w:rsidRPr="003542CB">
        <w:rPr>
          <w:rFonts w:cstheme="minorHAnsi"/>
          <w:color w:val="000000" w:themeColor="text1"/>
          <w:sz w:val="24"/>
          <w:szCs w:val="24"/>
        </w:rPr>
        <w:t xml:space="preserve"> 2021</w:t>
      </w:r>
      <w:r w:rsidRPr="003542CB">
        <w:rPr>
          <w:rFonts w:cstheme="minorHAnsi"/>
          <w:color w:val="000000" w:themeColor="text1"/>
          <w:sz w:val="24"/>
          <w:szCs w:val="24"/>
        </w:rPr>
        <w:t>. V době tvorby tohoto materiálu je však velmi obtížné odhadnout vývoj ve zmíněné části roku.</w:t>
      </w:r>
    </w:p>
    <w:p w14:paraId="44141FE1" w14:textId="7D84ADBB" w:rsidR="00E66F65" w:rsidRPr="003542CB" w:rsidRDefault="00E66F65"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Negativní dopad je však očekáván i nadále na sazby termínovaných vkladů, které Pojišťovna využívá pro svoje finanční investice. Vzhledem k aktuálnímu rozložení termínovaných vkladů je dopad snižování nabízených úrokových sazeb očekáván především v 3. </w:t>
      </w:r>
      <w:r w:rsidR="00872DA1" w:rsidRPr="003542CB">
        <w:rPr>
          <w:rFonts w:cstheme="minorHAnsi"/>
          <w:color w:val="000000" w:themeColor="text1"/>
          <w:sz w:val="24"/>
          <w:szCs w:val="24"/>
        </w:rPr>
        <w:t xml:space="preserve">Q </w:t>
      </w:r>
      <w:r w:rsidRPr="003542CB">
        <w:rPr>
          <w:rFonts w:cstheme="minorHAnsi"/>
          <w:color w:val="000000" w:themeColor="text1"/>
          <w:sz w:val="24"/>
          <w:szCs w:val="24"/>
        </w:rPr>
        <w:t>a 4. Q</w:t>
      </w:r>
      <w:r w:rsidR="00872DA1" w:rsidRPr="003542CB">
        <w:rPr>
          <w:rFonts w:cstheme="minorHAnsi"/>
          <w:color w:val="000000" w:themeColor="text1"/>
          <w:sz w:val="24"/>
          <w:szCs w:val="24"/>
        </w:rPr>
        <w:t xml:space="preserve"> 2021</w:t>
      </w:r>
      <w:r w:rsidRPr="003542CB">
        <w:rPr>
          <w:rFonts w:cstheme="minorHAnsi"/>
          <w:color w:val="000000" w:themeColor="text1"/>
          <w:sz w:val="24"/>
          <w:szCs w:val="24"/>
        </w:rPr>
        <w:t xml:space="preserve">. Pojišťovna očekává, že sazby termínovaných vkladů, které Pojišťovna využije v roce 2021 budou na úrovni 0,25 – 0,50 % </w:t>
      </w:r>
      <w:proofErr w:type="spellStart"/>
      <w:r w:rsidRPr="003542CB">
        <w:rPr>
          <w:rFonts w:cstheme="minorHAnsi"/>
          <w:color w:val="000000" w:themeColor="text1"/>
          <w:sz w:val="24"/>
          <w:szCs w:val="24"/>
        </w:rPr>
        <w:t>p.a</w:t>
      </w:r>
      <w:proofErr w:type="spellEnd"/>
      <w:r w:rsidRPr="003542CB">
        <w:rPr>
          <w:rFonts w:cstheme="minorHAnsi"/>
          <w:color w:val="000000" w:themeColor="text1"/>
          <w:sz w:val="24"/>
          <w:szCs w:val="24"/>
        </w:rPr>
        <w:t>.</w:t>
      </w:r>
    </w:p>
    <w:p w14:paraId="5317E6B6" w14:textId="607A304E" w:rsidR="00E66F65" w:rsidRPr="003542CB" w:rsidRDefault="00E66F65" w:rsidP="00E3584D">
      <w:pPr>
        <w:spacing w:line="280" w:lineRule="atLeast"/>
        <w:jc w:val="both"/>
        <w:rPr>
          <w:rFonts w:cstheme="minorHAnsi"/>
          <w:color w:val="FF0000"/>
          <w:sz w:val="24"/>
          <w:szCs w:val="24"/>
        </w:rPr>
      </w:pPr>
      <w:r w:rsidRPr="003542CB">
        <w:rPr>
          <w:rFonts w:cstheme="minorHAnsi"/>
          <w:color w:val="000000" w:themeColor="text1"/>
          <w:sz w:val="24"/>
          <w:szCs w:val="24"/>
        </w:rPr>
        <w:t>Vzhledem k výše uvedeným skutečnostem Pojišťovna předběžně očekává finanční ztrátu za rok 2021 ve výši 917 tis. Kč. Ekonomické dopady jsou průběžně projednávány představenstvem i dozorčí radou Pojišťovny. Zároveň jsou monitorovány požadavky a doporučení vydávaná v souvislosti s </w:t>
      </w:r>
      <w:r w:rsidR="00872DA1" w:rsidRPr="003542CB">
        <w:rPr>
          <w:rFonts w:cstheme="minorHAnsi"/>
          <w:color w:val="000000" w:themeColor="text1"/>
          <w:sz w:val="24"/>
          <w:szCs w:val="24"/>
        </w:rPr>
        <w:t xml:space="preserve">pandemií </w:t>
      </w:r>
      <w:r w:rsidRPr="003542CB">
        <w:rPr>
          <w:rFonts w:cstheme="minorHAnsi"/>
          <w:color w:val="000000" w:themeColor="text1"/>
          <w:sz w:val="24"/>
          <w:szCs w:val="24"/>
        </w:rPr>
        <w:t xml:space="preserve">(doporučení Evropské Komise; plánované bilaterální dohody o otevření hranic s některými státy; požadavky na občany při cestách do zahraničí apod.). </w:t>
      </w:r>
    </w:p>
    <w:p w14:paraId="67129F1D" w14:textId="56FAA424" w:rsidR="0017410E" w:rsidRPr="003542CB" w:rsidRDefault="0017410E" w:rsidP="00E3584D">
      <w:pPr>
        <w:spacing w:line="280" w:lineRule="atLeast"/>
        <w:jc w:val="both"/>
        <w:rPr>
          <w:rFonts w:cstheme="minorHAnsi"/>
          <w:color w:val="000000" w:themeColor="text1"/>
          <w:sz w:val="24"/>
          <w:szCs w:val="24"/>
        </w:rPr>
      </w:pPr>
    </w:p>
    <w:p w14:paraId="506F087B" w14:textId="784FC0EF" w:rsidR="0017410E" w:rsidRPr="003542CB" w:rsidRDefault="0017410E" w:rsidP="003C4BAC">
      <w:pPr>
        <w:pStyle w:val="Nadpis2"/>
        <w:spacing w:after="120" w:line="280" w:lineRule="atLeast"/>
        <w:rPr>
          <w:rFonts w:asciiTheme="minorHAnsi" w:hAnsiTheme="minorHAnsi" w:cstheme="minorHAnsi"/>
          <w:b/>
          <w:color w:val="000000" w:themeColor="text1"/>
        </w:rPr>
      </w:pPr>
      <w:bookmarkStart w:id="40" w:name="_Toc75366904"/>
      <w:r w:rsidRPr="003542CB">
        <w:rPr>
          <w:rFonts w:asciiTheme="minorHAnsi" w:hAnsiTheme="minorHAnsi" w:cstheme="minorHAnsi"/>
          <w:b/>
          <w:color w:val="000000" w:themeColor="text1"/>
        </w:rPr>
        <w:t>7.5. Střednědobý výhled pro roky 202</w:t>
      </w:r>
      <w:r w:rsidR="00E66F65" w:rsidRPr="003542CB">
        <w:rPr>
          <w:rFonts w:asciiTheme="minorHAnsi" w:hAnsiTheme="minorHAnsi" w:cstheme="minorHAnsi"/>
          <w:b/>
          <w:color w:val="000000" w:themeColor="text1"/>
        </w:rPr>
        <w:t>2</w:t>
      </w:r>
      <w:r w:rsidRPr="003542CB">
        <w:rPr>
          <w:rFonts w:asciiTheme="minorHAnsi" w:hAnsiTheme="minorHAnsi" w:cstheme="minorHAnsi"/>
          <w:b/>
          <w:color w:val="000000" w:themeColor="text1"/>
        </w:rPr>
        <w:t xml:space="preserve"> a 202</w:t>
      </w:r>
      <w:r w:rsidR="00E66F65" w:rsidRPr="003542CB">
        <w:rPr>
          <w:rFonts w:asciiTheme="minorHAnsi" w:hAnsiTheme="minorHAnsi" w:cstheme="minorHAnsi"/>
          <w:b/>
          <w:color w:val="000000" w:themeColor="text1"/>
        </w:rPr>
        <w:t>3</w:t>
      </w:r>
      <w:bookmarkEnd w:id="40"/>
    </w:p>
    <w:p w14:paraId="4CF44A0A" w14:textId="134BF635" w:rsidR="000A5B99" w:rsidRPr="003542CB" w:rsidRDefault="000A5B99"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Pojišťovna očekává pozvolný nárůst poptávky po cestovním pojištění i v letech následujících. Pro rok 2022 je očekávaný vývoj předepsaného pojistného zhruba na úroveň </w:t>
      </w:r>
      <w:proofErr w:type="gramStart"/>
      <w:r w:rsidRPr="003542CB">
        <w:rPr>
          <w:rFonts w:cstheme="minorHAnsi"/>
          <w:color w:val="000000" w:themeColor="text1"/>
          <w:sz w:val="24"/>
          <w:szCs w:val="24"/>
        </w:rPr>
        <w:t>70 - 80</w:t>
      </w:r>
      <w:proofErr w:type="gramEnd"/>
      <w:r w:rsidRPr="003542CB">
        <w:rPr>
          <w:rFonts w:cstheme="minorHAnsi"/>
          <w:color w:val="000000" w:themeColor="text1"/>
          <w:sz w:val="24"/>
          <w:szCs w:val="24"/>
        </w:rPr>
        <w:t xml:space="preserve"> % dosažených výsledků roku 2019. V dalším roce je pak již očekáván návrat na hodnoty srovnatelné s rokem 2019.</w:t>
      </w:r>
    </w:p>
    <w:p w14:paraId="52C93554" w14:textId="6430FC49" w:rsidR="000A5B99" w:rsidRPr="003542CB" w:rsidRDefault="000A5B99"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Pokles výnosů bude v následujících obdobích ovlivněn i poklesem výnosů z investic. Velmi nízké sazby termínovaných vkladů se dají očekávat minimálně do konce roku 2022. Pro rok 2022 se tak dají očekávat sazby v podobné výši jako v roce 2021. Jejich pozvolné navyšování je tak očekáváno nejdříve v roce 2023.</w:t>
      </w:r>
    </w:p>
    <w:p w14:paraId="0C0FAD3D" w14:textId="464B5CBA" w:rsidR="000A5B99" w:rsidRPr="003542CB" w:rsidRDefault="000A5B99" w:rsidP="00E3584D">
      <w:pPr>
        <w:spacing w:line="280" w:lineRule="atLeast"/>
        <w:jc w:val="both"/>
        <w:rPr>
          <w:rFonts w:cstheme="minorHAnsi"/>
          <w:color w:val="000000" w:themeColor="text1"/>
          <w:sz w:val="24"/>
          <w:szCs w:val="24"/>
        </w:rPr>
      </w:pPr>
      <w:r w:rsidRPr="003542CB">
        <w:rPr>
          <w:rFonts w:cstheme="minorHAnsi"/>
          <w:color w:val="000000" w:themeColor="text1"/>
          <w:sz w:val="24"/>
          <w:szCs w:val="24"/>
        </w:rPr>
        <w:t xml:space="preserve">Očekávané hospodářské výsledky v letech 2022 a 2023 je v současné době velmi obtížné predikovat vzhledem k nejistému vývoji ekonomické situace nejen v ČR, ale i v zahraničí. </w:t>
      </w:r>
    </w:p>
    <w:p w14:paraId="5E2C3CB1" w14:textId="7FA3F49B" w:rsidR="00FA5B54" w:rsidRDefault="00FA5B54">
      <w:pPr>
        <w:rPr>
          <w:rFonts w:cstheme="minorHAnsi"/>
          <w:color w:val="000000" w:themeColor="text1"/>
          <w:sz w:val="24"/>
          <w:szCs w:val="24"/>
        </w:rPr>
      </w:pPr>
      <w:r>
        <w:rPr>
          <w:rFonts w:cstheme="minorHAnsi"/>
          <w:color w:val="000000" w:themeColor="text1"/>
          <w:sz w:val="24"/>
          <w:szCs w:val="24"/>
        </w:rPr>
        <w:br w:type="page"/>
      </w:r>
    </w:p>
    <w:p w14:paraId="283F8844" w14:textId="77777777" w:rsidR="00FA5B54" w:rsidRDefault="00FA5B54" w:rsidP="00FA5B54"/>
    <w:p w14:paraId="285B722B" w14:textId="77777777" w:rsidR="00FA5B54" w:rsidRDefault="00FA5B54" w:rsidP="00FA5B54">
      <w:pPr>
        <w:rPr>
          <w:b/>
          <w:bCs/>
          <w:sz w:val="28"/>
          <w:szCs w:val="28"/>
        </w:rPr>
      </w:pPr>
    </w:p>
    <w:p w14:paraId="5737B0D0" w14:textId="77777777" w:rsidR="00FA5B54" w:rsidRPr="00740151" w:rsidRDefault="00FA5B54" w:rsidP="00FA5B54">
      <w:pPr>
        <w:pStyle w:val="Nadpis1"/>
        <w:rPr>
          <w:b/>
          <w:bCs/>
          <w:color w:val="auto"/>
        </w:rPr>
      </w:pPr>
      <w:bookmarkStart w:id="41" w:name="_Toc75366905"/>
      <w:r w:rsidRPr="00740151">
        <w:rPr>
          <w:b/>
          <w:bCs/>
          <w:color w:val="auto"/>
        </w:rPr>
        <w:t>PŘÍLOHY</w:t>
      </w:r>
      <w:bookmarkEnd w:id="41"/>
    </w:p>
    <w:p w14:paraId="0E870990" w14:textId="77777777" w:rsidR="00FA5B54" w:rsidRDefault="00FA5B54" w:rsidP="00FA5B54"/>
    <w:p w14:paraId="6D867F4C" w14:textId="77777777" w:rsidR="00FA5B54" w:rsidRDefault="00FA5B54" w:rsidP="00FA5B54"/>
    <w:p w14:paraId="5BCE8A55" w14:textId="77777777" w:rsidR="00FA5B54" w:rsidRDefault="00FA5B54" w:rsidP="00FA5B54">
      <w:r>
        <w:t xml:space="preserve">V příloze uvádí Vitalitas pojišťovna seznam pro ni relevantních šablon požadovaných v Nařízení. </w:t>
      </w:r>
    </w:p>
    <w:p w14:paraId="1D9DC54F" w14:textId="77777777" w:rsidR="00FA5B54" w:rsidRDefault="00FA5B54" w:rsidP="00FA5B54"/>
    <w:tbl>
      <w:tblPr>
        <w:tblStyle w:val="Mkatabulky"/>
        <w:tblW w:w="9067" w:type="dxa"/>
        <w:tblLook w:val="04A0" w:firstRow="1" w:lastRow="0" w:firstColumn="1" w:lastColumn="0" w:noHBand="0" w:noVBand="1"/>
      </w:tblPr>
      <w:tblGrid>
        <w:gridCol w:w="1413"/>
        <w:gridCol w:w="6095"/>
        <w:gridCol w:w="1559"/>
      </w:tblGrid>
      <w:tr w:rsidR="00FA5B54" w:rsidRPr="008A2B84" w14:paraId="4FF77AE8" w14:textId="77777777" w:rsidTr="00DB36AE">
        <w:tc>
          <w:tcPr>
            <w:tcW w:w="1413" w:type="dxa"/>
          </w:tcPr>
          <w:p w14:paraId="48A726CA" w14:textId="77777777" w:rsidR="00FA5B54" w:rsidRPr="008A2B84" w:rsidRDefault="00FA5B54" w:rsidP="00DB36AE">
            <w:pPr>
              <w:spacing w:before="40" w:after="40"/>
              <w:rPr>
                <w:b/>
                <w:bCs/>
              </w:rPr>
            </w:pPr>
            <w:r w:rsidRPr="008A2B84">
              <w:rPr>
                <w:b/>
                <w:bCs/>
              </w:rPr>
              <w:t>Kód šablony</w:t>
            </w:r>
          </w:p>
        </w:tc>
        <w:tc>
          <w:tcPr>
            <w:tcW w:w="6095" w:type="dxa"/>
          </w:tcPr>
          <w:p w14:paraId="4F87EAF9" w14:textId="77777777" w:rsidR="00FA5B54" w:rsidRPr="008A2B84" w:rsidRDefault="00FA5B54" w:rsidP="00DB36AE">
            <w:pPr>
              <w:spacing w:before="40" w:after="40"/>
              <w:rPr>
                <w:b/>
                <w:bCs/>
              </w:rPr>
            </w:pPr>
            <w:r w:rsidRPr="008A2B84">
              <w:rPr>
                <w:b/>
                <w:bCs/>
              </w:rPr>
              <w:t>Název šablony</w:t>
            </w:r>
          </w:p>
        </w:tc>
        <w:tc>
          <w:tcPr>
            <w:tcW w:w="1559" w:type="dxa"/>
          </w:tcPr>
          <w:p w14:paraId="2C4E3943" w14:textId="77777777" w:rsidR="00FA5B54" w:rsidRPr="008A2B84" w:rsidRDefault="00FA5B54" w:rsidP="00DB36AE">
            <w:pPr>
              <w:spacing w:before="40" w:after="40"/>
              <w:jc w:val="center"/>
              <w:rPr>
                <w:b/>
                <w:bCs/>
              </w:rPr>
            </w:pPr>
            <w:r w:rsidRPr="008A2B84">
              <w:rPr>
                <w:b/>
                <w:bCs/>
              </w:rPr>
              <w:t xml:space="preserve">Relevantní pro </w:t>
            </w:r>
            <w:r>
              <w:rPr>
                <w:b/>
                <w:bCs/>
              </w:rPr>
              <w:t>Vitalitas p</w:t>
            </w:r>
            <w:r w:rsidRPr="008A2B84">
              <w:rPr>
                <w:b/>
                <w:bCs/>
              </w:rPr>
              <w:t>ojišťovnu</w:t>
            </w:r>
          </w:p>
        </w:tc>
      </w:tr>
      <w:tr w:rsidR="00FA5B54" w14:paraId="1F05FE2E" w14:textId="77777777" w:rsidTr="00DB36AE">
        <w:tc>
          <w:tcPr>
            <w:tcW w:w="1413" w:type="dxa"/>
          </w:tcPr>
          <w:p w14:paraId="6432FFA1" w14:textId="77777777" w:rsidR="00FA5B54" w:rsidRPr="005A0628" w:rsidRDefault="00FA5B54" w:rsidP="00DB36AE">
            <w:pPr>
              <w:spacing w:before="40" w:after="40"/>
              <w:rPr>
                <w:sz w:val="20"/>
                <w:szCs w:val="20"/>
              </w:rPr>
            </w:pPr>
            <w:r w:rsidRPr="005A0628">
              <w:rPr>
                <w:sz w:val="20"/>
                <w:szCs w:val="20"/>
              </w:rPr>
              <w:t>S.02.01.02</w:t>
            </w:r>
          </w:p>
        </w:tc>
        <w:tc>
          <w:tcPr>
            <w:tcW w:w="6095" w:type="dxa"/>
          </w:tcPr>
          <w:p w14:paraId="1385AC2B" w14:textId="77777777" w:rsidR="00FA5B54" w:rsidRPr="005A0628" w:rsidRDefault="00FA5B54" w:rsidP="00DB36AE">
            <w:pPr>
              <w:spacing w:before="40" w:after="40"/>
              <w:rPr>
                <w:sz w:val="20"/>
                <w:szCs w:val="20"/>
              </w:rPr>
            </w:pPr>
            <w:r w:rsidRPr="005A0628">
              <w:rPr>
                <w:sz w:val="20"/>
                <w:szCs w:val="20"/>
              </w:rPr>
              <w:t>Rozvaha</w:t>
            </w:r>
          </w:p>
        </w:tc>
        <w:tc>
          <w:tcPr>
            <w:tcW w:w="1559" w:type="dxa"/>
          </w:tcPr>
          <w:p w14:paraId="0A2A9796" w14:textId="77777777" w:rsidR="00FA5B54" w:rsidRPr="005A0628" w:rsidRDefault="00FA5B54" w:rsidP="00DB36AE">
            <w:pPr>
              <w:spacing w:before="40" w:after="40"/>
              <w:jc w:val="center"/>
              <w:rPr>
                <w:sz w:val="20"/>
                <w:szCs w:val="20"/>
              </w:rPr>
            </w:pPr>
            <w:r w:rsidRPr="005A0628">
              <w:rPr>
                <w:sz w:val="20"/>
                <w:szCs w:val="20"/>
              </w:rPr>
              <w:t>ANO</w:t>
            </w:r>
          </w:p>
        </w:tc>
      </w:tr>
      <w:tr w:rsidR="00FA5B54" w14:paraId="02644409" w14:textId="77777777" w:rsidTr="00DB36AE">
        <w:tc>
          <w:tcPr>
            <w:tcW w:w="1413" w:type="dxa"/>
          </w:tcPr>
          <w:p w14:paraId="43F4F663" w14:textId="77777777" w:rsidR="00FA5B54" w:rsidRPr="005A0628" w:rsidRDefault="00FA5B54" w:rsidP="00DB36AE">
            <w:pPr>
              <w:spacing w:before="40" w:after="40"/>
              <w:rPr>
                <w:sz w:val="20"/>
                <w:szCs w:val="20"/>
              </w:rPr>
            </w:pPr>
            <w:r w:rsidRPr="005A0628">
              <w:rPr>
                <w:sz w:val="20"/>
                <w:szCs w:val="20"/>
              </w:rPr>
              <w:t>S.05.01.02</w:t>
            </w:r>
          </w:p>
        </w:tc>
        <w:tc>
          <w:tcPr>
            <w:tcW w:w="6095" w:type="dxa"/>
          </w:tcPr>
          <w:p w14:paraId="279D1F57" w14:textId="77777777" w:rsidR="00FA5B54" w:rsidRPr="005A0628" w:rsidRDefault="00FA5B54" w:rsidP="00DB36AE">
            <w:pPr>
              <w:spacing w:before="40" w:after="40"/>
              <w:rPr>
                <w:sz w:val="20"/>
                <w:szCs w:val="20"/>
              </w:rPr>
            </w:pPr>
            <w:r w:rsidRPr="005A0628">
              <w:rPr>
                <w:sz w:val="20"/>
                <w:szCs w:val="20"/>
              </w:rPr>
              <w:t>Pojistné, nároky na pojistné plnění a výdaje podle druhu pojištění</w:t>
            </w:r>
          </w:p>
        </w:tc>
        <w:tc>
          <w:tcPr>
            <w:tcW w:w="1559" w:type="dxa"/>
          </w:tcPr>
          <w:p w14:paraId="51C80B3F" w14:textId="77777777" w:rsidR="00FA5B54" w:rsidRPr="005A0628" w:rsidRDefault="00FA5B54" w:rsidP="00DB36AE">
            <w:pPr>
              <w:spacing w:before="40" w:after="40"/>
              <w:jc w:val="center"/>
              <w:rPr>
                <w:sz w:val="20"/>
                <w:szCs w:val="20"/>
              </w:rPr>
            </w:pPr>
            <w:r w:rsidRPr="005A0628">
              <w:rPr>
                <w:sz w:val="20"/>
                <w:szCs w:val="20"/>
              </w:rPr>
              <w:t>ANO</w:t>
            </w:r>
          </w:p>
        </w:tc>
      </w:tr>
      <w:tr w:rsidR="00FA5B54" w14:paraId="7DD0DDCD" w14:textId="77777777" w:rsidTr="00DB36AE">
        <w:tc>
          <w:tcPr>
            <w:tcW w:w="1413" w:type="dxa"/>
          </w:tcPr>
          <w:p w14:paraId="5B92C012" w14:textId="77777777" w:rsidR="00FA5B54" w:rsidRPr="005A0628" w:rsidRDefault="00FA5B54" w:rsidP="00DB36AE">
            <w:pPr>
              <w:spacing w:before="40" w:after="40"/>
              <w:rPr>
                <w:sz w:val="20"/>
                <w:szCs w:val="20"/>
              </w:rPr>
            </w:pPr>
            <w:r w:rsidRPr="005A0628">
              <w:rPr>
                <w:sz w:val="20"/>
                <w:szCs w:val="20"/>
              </w:rPr>
              <w:t>S.05.02.01</w:t>
            </w:r>
          </w:p>
        </w:tc>
        <w:tc>
          <w:tcPr>
            <w:tcW w:w="6095" w:type="dxa"/>
          </w:tcPr>
          <w:p w14:paraId="27DF523A" w14:textId="77777777" w:rsidR="00FA5B54" w:rsidRPr="005A0628" w:rsidRDefault="00FA5B54" w:rsidP="00DB36AE">
            <w:pPr>
              <w:spacing w:before="40" w:after="40"/>
              <w:rPr>
                <w:sz w:val="20"/>
                <w:szCs w:val="20"/>
              </w:rPr>
            </w:pPr>
            <w:r w:rsidRPr="005A0628">
              <w:rPr>
                <w:sz w:val="20"/>
                <w:szCs w:val="20"/>
              </w:rPr>
              <w:t>Pojistné, nároky na pojistné plnění a výdaje podle zemí</w:t>
            </w:r>
          </w:p>
        </w:tc>
        <w:tc>
          <w:tcPr>
            <w:tcW w:w="1559" w:type="dxa"/>
          </w:tcPr>
          <w:p w14:paraId="3D6243D3" w14:textId="77777777" w:rsidR="00FA5B54" w:rsidRPr="005A0628" w:rsidRDefault="00FA5B54" w:rsidP="00DB36AE">
            <w:pPr>
              <w:spacing w:before="40" w:after="40"/>
              <w:jc w:val="center"/>
              <w:rPr>
                <w:sz w:val="20"/>
                <w:szCs w:val="20"/>
              </w:rPr>
            </w:pPr>
            <w:r w:rsidRPr="005A0628">
              <w:rPr>
                <w:sz w:val="20"/>
                <w:szCs w:val="20"/>
              </w:rPr>
              <w:t>NE</w:t>
            </w:r>
          </w:p>
        </w:tc>
      </w:tr>
      <w:tr w:rsidR="00FA5B54" w14:paraId="3A507FEF" w14:textId="77777777" w:rsidTr="00DB36AE">
        <w:tc>
          <w:tcPr>
            <w:tcW w:w="1413" w:type="dxa"/>
          </w:tcPr>
          <w:p w14:paraId="50D9EDBE" w14:textId="77777777" w:rsidR="00FA5B54" w:rsidRPr="005A0628" w:rsidRDefault="00FA5B54" w:rsidP="00DB36AE">
            <w:pPr>
              <w:spacing w:before="40" w:after="40"/>
              <w:rPr>
                <w:sz w:val="20"/>
                <w:szCs w:val="20"/>
              </w:rPr>
            </w:pPr>
            <w:r w:rsidRPr="005A0628">
              <w:rPr>
                <w:sz w:val="20"/>
                <w:szCs w:val="20"/>
              </w:rPr>
              <w:t>S.12.01.02</w:t>
            </w:r>
          </w:p>
        </w:tc>
        <w:tc>
          <w:tcPr>
            <w:tcW w:w="6095" w:type="dxa"/>
          </w:tcPr>
          <w:p w14:paraId="53827DFF" w14:textId="77777777" w:rsidR="00FA5B54" w:rsidRPr="005A0628" w:rsidRDefault="00FA5B54" w:rsidP="00DB36AE">
            <w:pPr>
              <w:spacing w:before="40" w:after="40"/>
              <w:rPr>
                <w:sz w:val="20"/>
                <w:szCs w:val="20"/>
              </w:rPr>
            </w:pPr>
            <w:r w:rsidRPr="005A0628">
              <w:rPr>
                <w:sz w:val="20"/>
                <w:szCs w:val="20"/>
              </w:rPr>
              <w:t>Technické rezervy týkající se životního a zdravotního pojištění SLT</w:t>
            </w:r>
          </w:p>
        </w:tc>
        <w:tc>
          <w:tcPr>
            <w:tcW w:w="1559" w:type="dxa"/>
          </w:tcPr>
          <w:p w14:paraId="50286FA9" w14:textId="77777777" w:rsidR="00FA5B54" w:rsidRPr="005A0628" w:rsidRDefault="00FA5B54" w:rsidP="00DB36AE">
            <w:pPr>
              <w:spacing w:before="40" w:after="40"/>
              <w:jc w:val="center"/>
              <w:rPr>
                <w:sz w:val="20"/>
                <w:szCs w:val="20"/>
              </w:rPr>
            </w:pPr>
            <w:r w:rsidRPr="005A0628">
              <w:rPr>
                <w:sz w:val="20"/>
                <w:szCs w:val="20"/>
              </w:rPr>
              <w:t>NE</w:t>
            </w:r>
          </w:p>
        </w:tc>
      </w:tr>
      <w:tr w:rsidR="00FA5B54" w14:paraId="4AA1C635" w14:textId="77777777" w:rsidTr="00DB36AE">
        <w:tc>
          <w:tcPr>
            <w:tcW w:w="1413" w:type="dxa"/>
          </w:tcPr>
          <w:p w14:paraId="3D48CFFD" w14:textId="77777777" w:rsidR="00FA5B54" w:rsidRPr="005A0628" w:rsidRDefault="00FA5B54" w:rsidP="00DB36AE">
            <w:pPr>
              <w:spacing w:before="40" w:after="40"/>
              <w:rPr>
                <w:sz w:val="20"/>
                <w:szCs w:val="20"/>
              </w:rPr>
            </w:pPr>
            <w:r w:rsidRPr="005A0628">
              <w:rPr>
                <w:sz w:val="20"/>
                <w:szCs w:val="20"/>
              </w:rPr>
              <w:t>S.17.01.02</w:t>
            </w:r>
          </w:p>
        </w:tc>
        <w:tc>
          <w:tcPr>
            <w:tcW w:w="6095" w:type="dxa"/>
          </w:tcPr>
          <w:p w14:paraId="2D5FE06C" w14:textId="77777777" w:rsidR="00FA5B54" w:rsidRPr="005A0628" w:rsidRDefault="00FA5B54" w:rsidP="00DB36AE">
            <w:pPr>
              <w:spacing w:before="40" w:after="40"/>
              <w:rPr>
                <w:sz w:val="20"/>
                <w:szCs w:val="20"/>
              </w:rPr>
            </w:pPr>
            <w:r w:rsidRPr="005A0628">
              <w:rPr>
                <w:sz w:val="20"/>
                <w:szCs w:val="20"/>
              </w:rPr>
              <w:t>Technické rezervy týkající se neživotního pojištění</w:t>
            </w:r>
          </w:p>
        </w:tc>
        <w:tc>
          <w:tcPr>
            <w:tcW w:w="1559" w:type="dxa"/>
          </w:tcPr>
          <w:p w14:paraId="52315BF6" w14:textId="77777777" w:rsidR="00FA5B54" w:rsidRPr="005A0628" w:rsidRDefault="00FA5B54" w:rsidP="00DB36AE">
            <w:pPr>
              <w:spacing w:before="40" w:after="40"/>
              <w:jc w:val="center"/>
              <w:rPr>
                <w:sz w:val="20"/>
                <w:szCs w:val="20"/>
              </w:rPr>
            </w:pPr>
            <w:r w:rsidRPr="005A0628">
              <w:rPr>
                <w:sz w:val="20"/>
                <w:szCs w:val="20"/>
              </w:rPr>
              <w:t>ANO</w:t>
            </w:r>
          </w:p>
        </w:tc>
      </w:tr>
      <w:tr w:rsidR="00FA5B54" w14:paraId="7E4672F7" w14:textId="77777777" w:rsidTr="00DB36AE">
        <w:tc>
          <w:tcPr>
            <w:tcW w:w="1413" w:type="dxa"/>
          </w:tcPr>
          <w:p w14:paraId="3B3DB0ED" w14:textId="77777777" w:rsidR="00FA5B54" w:rsidRPr="005A0628" w:rsidRDefault="00FA5B54" w:rsidP="00DB36AE">
            <w:pPr>
              <w:spacing w:before="40" w:after="40"/>
              <w:rPr>
                <w:sz w:val="20"/>
                <w:szCs w:val="20"/>
              </w:rPr>
            </w:pPr>
            <w:r w:rsidRPr="005A0628">
              <w:rPr>
                <w:sz w:val="20"/>
                <w:szCs w:val="20"/>
              </w:rPr>
              <w:t>S.19.01.21</w:t>
            </w:r>
          </w:p>
        </w:tc>
        <w:tc>
          <w:tcPr>
            <w:tcW w:w="6095" w:type="dxa"/>
          </w:tcPr>
          <w:p w14:paraId="48B94D7D" w14:textId="77777777" w:rsidR="00FA5B54" w:rsidRPr="005A0628" w:rsidRDefault="00FA5B54" w:rsidP="00DB36AE">
            <w:pPr>
              <w:spacing w:before="40" w:after="40"/>
              <w:rPr>
                <w:sz w:val="20"/>
                <w:szCs w:val="20"/>
              </w:rPr>
            </w:pPr>
            <w:r w:rsidRPr="005A0628">
              <w:rPr>
                <w:sz w:val="20"/>
                <w:szCs w:val="20"/>
              </w:rPr>
              <w:t>Informace o nárocích na pojistné plnění z neživotního pojištění</w:t>
            </w:r>
          </w:p>
        </w:tc>
        <w:tc>
          <w:tcPr>
            <w:tcW w:w="1559" w:type="dxa"/>
          </w:tcPr>
          <w:p w14:paraId="07DE82A4" w14:textId="77777777" w:rsidR="00FA5B54" w:rsidRPr="005A0628" w:rsidRDefault="00FA5B54" w:rsidP="00DB36AE">
            <w:pPr>
              <w:spacing w:before="40" w:after="40"/>
              <w:jc w:val="center"/>
              <w:rPr>
                <w:sz w:val="20"/>
                <w:szCs w:val="20"/>
              </w:rPr>
            </w:pPr>
            <w:r w:rsidRPr="005A0628">
              <w:rPr>
                <w:sz w:val="20"/>
                <w:szCs w:val="20"/>
              </w:rPr>
              <w:t>ANO</w:t>
            </w:r>
          </w:p>
        </w:tc>
      </w:tr>
      <w:tr w:rsidR="00FA5B54" w14:paraId="0D01D769" w14:textId="77777777" w:rsidTr="00DB36AE">
        <w:tc>
          <w:tcPr>
            <w:tcW w:w="1413" w:type="dxa"/>
          </w:tcPr>
          <w:p w14:paraId="6FB56012" w14:textId="77777777" w:rsidR="00FA5B54" w:rsidRPr="005A0628" w:rsidRDefault="00FA5B54" w:rsidP="00DB36AE">
            <w:pPr>
              <w:spacing w:before="40" w:after="40"/>
              <w:rPr>
                <w:sz w:val="20"/>
                <w:szCs w:val="20"/>
              </w:rPr>
            </w:pPr>
            <w:r w:rsidRPr="005A0628">
              <w:rPr>
                <w:sz w:val="20"/>
                <w:szCs w:val="20"/>
              </w:rPr>
              <w:t>S.22.01.21</w:t>
            </w:r>
          </w:p>
        </w:tc>
        <w:tc>
          <w:tcPr>
            <w:tcW w:w="6095" w:type="dxa"/>
          </w:tcPr>
          <w:p w14:paraId="1C337393" w14:textId="77777777" w:rsidR="00FA5B54" w:rsidRPr="005A0628" w:rsidRDefault="00FA5B54" w:rsidP="00DB36AE">
            <w:pPr>
              <w:spacing w:before="40" w:after="40"/>
              <w:rPr>
                <w:sz w:val="20"/>
                <w:szCs w:val="20"/>
              </w:rPr>
            </w:pPr>
            <w:r w:rsidRPr="005A0628">
              <w:rPr>
                <w:sz w:val="20"/>
                <w:szCs w:val="20"/>
              </w:rPr>
              <w:t>Dopad dlouhodobých záruk a přechodných opatření</w:t>
            </w:r>
          </w:p>
        </w:tc>
        <w:tc>
          <w:tcPr>
            <w:tcW w:w="1559" w:type="dxa"/>
          </w:tcPr>
          <w:p w14:paraId="7CE58A91" w14:textId="77777777" w:rsidR="00FA5B54" w:rsidRPr="005A0628" w:rsidRDefault="00FA5B54" w:rsidP="00DB36AE">
            <w:pPr>
              <w:spacing w:before="40" w:after="40"/>
              <w:jc w:val="center"/>
              <w:rPr>
                <w:sz w:val="20"/>
                <w:szCs w:val="20"/>
              </w:rPr>
            </w:pPr>
            <w:r w:rsidRPr="005A0628">
              <w:rPr>
                <w:sz w:val="20"/>
                <w:szCs w:val="20"/>
              </w:rPr>
              <w:t>NE</w:t>
            </w:r>
          </w:p>
        </w:tc>
      </w:tr>
      <w:tr w:rsidR="00FA5B54" w14:paraId="46135FDC" w14:textId="77777777" w:rsidTr="00DB36AE">
        <w:tc>
          <w:tcPr>
            <w:tcW w:w="1413" w:type="dxa"/>
          </w:tcPr>
          <w:p w14:paraId="1AB19F01" w14:textId="77777777" w:rsidR="00FA5B54" w:rsidRPr="005A0628" w:rsidRDefault="00FA5B54" w:rsidP="00DB36AE">
            <w:pPr>
              <w:spacing w:before="40" w:after="40"/>
              <w:rPr>
                <w:sz w:val="20"/>
                <w:szCs w:val="20"/>
              </w:rPr>
            </w:pPr>
            <w:r w:rsidRPr="005A0628">
              <w:rPr>
                <w:sz w:val="20"/>
                <w:szCs w:val="20"/>
              </w:rPr>
              <w:t>S.23.01.01</w:t>
            </w:r>
          </w:p>
        </w:tc>
        <w:tc>
          <w:tcPr>
            <w:tcW w:w="6095" w:type="dxa"/>
          </w:tcPr>
          <w:p w14:paraId="2B2DA442" w14:textId="77777777" w:rsidR="00FA5B54" w:rsidRPr="005A0628" w:rsidRDefault="00FA5B54" w:rsidP="00DB36AE">
            <w:pPr>
              <w:spacing w:before="40" w:after="40"/>
              <w:rPr>
                <w:sz w:val="20"/>
                <w:szCs w:val="20"/>
              </w:rPr>
            </w:pPr>
            <w:r w:rsidRPr="005A0628">
              <w:rPr>
                <w:sz w:val="20"/>
                <w:szCs w:val="20"/>
              </w:rPr>
              <w:t>Kapitál</w:t>
            </w:r>
          </w:p>
        </w:tc>
        <w:tc>
          <w:tcPr>
            <w:tcW w:w="1559" w:type="dxa"/>
          </w:tcPr>
          <w:p w14:paraId="110348FA" w14:textId="77777777" w:rsidR="00FA5B54" w:rsidRPr="005A0628" w:rsidRDefault="00FA5B54" w:rsidP="00DB36AE">
            <w:pPr>
              <w:spacing w:before="40" w:after="40"/>
              <w:jc w:val="center"/>
              <w:rPr>
                <w:sz w:val="20"/>
                <w:szCs w:val="20"/>
              </w:rPr>
            </w:pPr>
            <w:r w:rsidRPr="005A0628">
              <w:rPr>
                <w:sz w:val="20"/>
                <w:szCs w:val="20"/>
              </w:rPr>
              <w:t>ANO</w:t>
            </w:r>
          </w:p>
        </w:tc>
      </w:tr>
      <w:tr w:rsidR="00FA5B54" w14:paraId="5B751859" w14:textId="77777777" w:rsidTr="00DB36AE">
        <w:tc>
          <w:tcPr>
            <w:tcW w:w="1413" w:type="dxa"/>
          </w:tcPr>
          <w:p w14:paraId="705147DF" w14:textId="77777777" w:rsidR="00FA5B54" w:rsidRPr="005A0628" w:rsidRDefault="00FA5B54" w:rsidP="00DB36AE">
            <w:pPr>
              <w:spacing w:before="40" w:after="40"/>
              <w:rPr>
                <w:sz w:val="20"/>
                <w:szCs w:val="20"/>
              </w:rPr>
            </w:pPr>
            <w:r w:rsidRPr="005A0628">
              <w:rPr>
                <w:sz w:val="20"/>
                <w:szCs w:val="20"/>
              </w:rPr>
              <w:t>S.25.01.21</w:t>
            </w:r>
          </w:p>
        </w:tc>
        <w:tc>
          <w:tcPr>
            <w:tcW w:w="6095" w:type="dxa"/>
          </w:tcPr>
          <w:p w14:paraId="793F24C1" w14:textId="77777777" w:rsidR="00FA5B54" w:rsidRPr="005A0628" w:rsidRDefault="00FA5B54" w:rsidP="00DB36AE">
            <w:pPr>
              <w:spacing w:before="40" w:after="40"/>
              <w:rPr>
                <w:sz w:val="20"/>
                <w:szCs w:val="20"/>
              </w:rPr>
            </w:pPr>
            <w:proofErr w:type="spellStart"/>
            <w:r w:rsidRPr="005A0628">
              <w:rPr>
                <w:sz w:val="20"/>
                <w:szCs w:val="20"/>
              </w:rPr>
              <w:t>Solventnostní</w:t>
            </w:r>
            <w:proofErr w:type="spellEnd"/>
            <w:r w:rsidRPr="005A0628">
              <w:rPr>
                <w:sz w:val="20"/>
                <w:szCs w:val="20"/>
              </w:rPr>
              <w:t xml:space="preserve"> kapitálový požadavek – pro pojišťovny a zajišťovny, které používají standardní vzorec</w:t>
            </w:r>
          </w:p>
        </w:tc>
        <w:tc>
          <w:tcPr>
            <w:tcW w:w="1559" w:type="dxa"/>
          </w:tcPr>
          <w:p w14:paraId="0671EBF0" w14:textId="77777777" w:rsidR="00FA5B54" w:rsidRPr="005A0628" w:rsidRDefault="00FA5B54" w:rsidP="00DB36AE">
            <w:pPr>
              <w:spacing w:before="40" w:after="40"/>
              <w:jc w:val="center"/>
              <w:rPr>
                <w:sz w:val="20"/>
                <w:szCs w:val="20"/>
              </w:rPr>
            </w:pPr>
            <w:r w:rsidRPr="005A0628">
              <w:rPr>
                <w:sz w:val="20"/>
                <w:szCs w:val="20"/>
              </w:rPr>
              <w:t>ANO</w:t>
            </w:r>
          </w:p>
        </w:tc>
      </w:tr>
      <w:tr w:rsidR="00FA5B54" w14:paraId="6F297CCF" w14:textId="77777777" w:rsidTr="00DB36AE">
        <w:tc>
          <w:tcPr>
            <w:tcW w:w="1413" w:type="dxa"/>
          </w:tcPr>
          <w:p w14:paraId="3633F715" w14:textId="77777777" w:rsidR="00FA5B54" w:rsidRPr="005A0628" w:rsidRDefault="00FA5B54" w:rsidP="00DB36AE">
            <w:pPr>
              <w:spacing w:before="40" w:after="40"/>
              <w:rPr>
                <w:sz w:val="20"/>
                <w:szCs w:val="20"/>
              </w:rPr>
            </w:pPr>
            <w:r w:rsidRPr="005A0628">
              <w:rPr>
                <w:sz w:val="20"/>
                <w:szCs w:val="20"/>
              </w:rPr>
              <w:t>S.28.01.01</w:t>
            </w:r>
          </w:p>
        </w:tc>
        <w:tc>
          <w:tcPr>
            <w:tcW w:w="6095" w:type="dxa"/>
          </w:tcPr>
          <w:p w14:paraId="029AB7ED" w14:textId="77777777" w:rsidR="00FA5B54" w:rsidRPr="005A0628" w:rsidRDefault="00FA5B54" w:rsidP="00DB36AE">
            <w:pPr>
              <w:spacing w:before="40" w:after="40"/>
              <w:rPr>
                <w:sz w:val="20"/>
                <w:szCs w:val="20"/>
              </w:rPr>
            </w:pPr>
            <w:r w:rsidRPr="005A0628">
              <w:rPr>
                <w:sz w:val="20"/>
                <w:szCs w:val="20"/>
              </w:rPr>
              <w:t>Minimální kapitálový požadavek – pouze životní nebo pouze neživotní pojištění nebo zajištění</w:t>
            </w:r>
          </w:p>
        </w:tc>
        <w:tc>
          <w:tcPr>
            <w:tcW w:w="1559" w:type="dxa"/>
          </w:tcPr>
          <w:p w14:paraId="048EA3AB" w14:textId="77777777" w:rsidR="00FA5B54" w:rsidRPr="005A0628" w:rsidRDefault="00FA5B54" w:rsidP="00DB36AE">
            <w:pPr>
              <w:spacing w:before="40" w:after="40"/>
              <w:jc w:val="center"/>
              <w:rPr>
                <w:sz w:val="20"/>
                <w:szCs w:val="20"/>
              </w:rPr>
            </w:pPr>
            <w:r w:rsidRPr="005A0628">
              <w:rPr>
                <w:sz w:val="20"/>
                <w:szCs w:val="20"/>
              </w:rPr>
              <w:t>ANO</w:t>
            </w:r>
          </w:p>
        </w:tc>
      </w:tr>
      <w:tr w:rsidR="00FA5B54" w14:paraId="350DDF1F" w14:textId="77777777" w:rsidTr="00DB36AE">
        <w:tc>
          <w:tcPr>
            <w:tcW w:w="1413" w:type="dxa"/>
          </w:tcPr>
          <w:p w14:paraId="25A6100C" w14:textId="77777777" w:rsidR="00FA5B54" w:rsidRPr="005A0628" w:rsidRDefault="00FA5B54" w:rsidP="00DB36AE">
            <w:pPr>
              <w:spacing w:before="40" w:after="40"/>
              <w:rPr>
                <w:sz w:val="20"/>
                <w:szCs w:val="20"/>
              </w:rPr>
            </w:pPr>
            <w:r w:rsidRPr="005A0628">
              <w:rPr>
                <w:sz w:val="20"/>
                <w:szCs w:val="20"/>
              </w:rPr>
              <w:t>S.28.02.01</w:t>
            </w:r>
          </w:p>
        </w:tc>
        <w:tc>
          <w:tcPr>
            <w:tcW w:w="6095" w:type="dxa"/>
          </w:tcPr>
          <w:p w14:paraId="6EC2547A" w14:textId="77777777" w:rsidR="00FA5B54" w:rsidRPr="005A0628" w:rsidRDefault="00FA5B54" w:rsidP="00DB36AE">
            <w:pPr>
              <w:spacing w:before="40" w:after="40"/>
              <w:rPr>
                <w:sz w:val="20"/>
                <w:szCs w:val="20"/>
              </w:rPr>
            </w:pPr>
            <w:r w:rsidRPr="005A0628">
              <w:rPr>
                <w:sz w:val="20"/>
                <w:szCs w:val="20"/>
              </w:rPr>
              <w:t>Minimální kapitálový požadavek – životní i neživotní pojištění</w:t>
            </w:r>
          </w:p>
        </w:tc>
        <w:tc>
          <w:tcPr>
            <w:tcW w:w="1559" w:type="dxa"/>
          </w:tcPr>
          <w:p w14:paraId="302FCE66" w14:textId="77777777" w:rsidR="00FA5B54" w:rsidRPr="005A0628" w:rsidRDefault="00FA5B54" w:rsidP="00DB36AE">
            <w:pPr>
              <w:spacing w:before="40" w:after="40"/>
              <w:jc w:val="center"/>
              <w:rPr>
                <w:sz w:val="20"/>
                <w:szCs w:val="20"/>
              </w:rPr>
            </w:pPr>
            <w:r w:rsidRPr="005A0628">
              <w:rPr>
                <w:sz w:val="20"/>
                <w:szCs w:val="20"/>
              </w:rPr>
              <w:t>NE</w:t>
            </w:r>
          </w:p>
        </w:tc>
      </w:tr>
    </w:tbl>
    <w:p w14:paraId="70356759" w14:textId="77777777" w:rsidR="00FA5B54" w:rsidRDefault="00FA5B54" w:rsidP="00FA5B54"/>
    <w:p w14:paraId="4BCABF49" w14:textId="77777777" w:rsidR="00FA5B54" w:rsidRDefault="00FA5B54" w:rsidP="00FA5B54">
      <w:r>
        <w:br w:type="page"/>
      </w:r>
    </w:p>
    <w:p w14:paraId="3C193A66" w14:textId="77777777" w:rsidR="00FA5B54" w:rsidRPr="00740151" w:rsidRDefault="00FA5B54" w:rsidP="00FA5B54">
      <w:pPr>
        <w:pStyle w:val="Nadpis2"/>
        <w:rPr>
          <w:color w:val="auto"/>
        </w:rPr>
      </w:pPr>
      <w:bookmarkStart w:id="42" w:name="_Toc75366906"/>
      <w:r w:rsidRPr="00740151">
        <w:rPr>
          <w:color w:val="auto"/>
        </w:rPr>
        <w:lastRenderedPageBreak/>
        <w:t>S.02.01.02 Rozvaha</w:t>
      </w:r>
      <w:bookmarkEnd w:id="42"/>
    </w:p>
    <w:p w14:paraId="02E50633" w14:textId="03FE661A" w:rsidR="00FA5B54" w:rsidRDefault="00FA5B54" w:rsidP="00FA5B54"/>
    <w:p w14:paraId="519FA25A" w14:textId="77777777" w:rsidR="003B3C69" w:rsidRDefault="003B3C69" w:rsidP="00FA5B54"/>
    <w:tbl>
      <w:tblPr>
        <w:tblW w:w="9776" w:type="dxa"/>
        <w:tblCellMar>
          <w:left w:w="70" w:type="dxa"/>
          <w:right w:w="70" w:type="dxa"/>
        </w:tblCellMar>
        <w:tblLook w:val="04A0" w:firstRow="1" w:lastRow="0" w:firstColumn="1" w:lastColumn="0" w:noHBand="0" w:noVBand="1"/>
      </w:tblPr>
      <w:tblGrid>
        <w:gridCol w:w="7508"/>
        <w:gridCol w:w="567"/>
        <w:gridCol w:w="1701"/>
      </w:tblGrid>
      <w:tr w:rsidR="007508A2" w:rsidRPr="007508A2" w14:paraId="3DBF02B6" w14:textId="77777777" w:rsidTr="00C850B3">
        <w:trPr>
          <w:trHeight w:val="469"/>
        </w:trPr>
        <w:tc>
          <w:tcPr>
            <w:tcW w:w="7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EBAD5" w14:textId="77777777" w:rsidR="007508A2" w:rsidRPr="007508A2" w:rsidRDefault="007508A2" w:rsidP="007508A2">
            <w:pPr>
              <w:spacing w:after="0" w:line="240" w:lineRule="auto"/>
              <w:jc w:val="both"/>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F228C3" w14:textId="77777777" w:rsidR="007508A2" w:rsidRPr="007508A2" w:rsidRDefault="007508A2" w:rsidP="007508A2">
            <w:pPr>
              <w:spacing w:after="0" w:line="240" w:lineRule="auto"/>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812A133" w14:textId="77777777" w:rsidR="007508A2" w:rsidRPr="007508A2" w:rsidRDefault="007508A2" w:rsidP="007508A2">
            <w:pPr>
              <w:spacing w:after="0" w:line="240" w:lineRule="auto"/>
              <w:jc w:val="center"/>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Hodnota podle směrnice Solventnost II</w:t>
            </w:r>
          </w:p>
        </w:tc>
      </w:tr>
      <w:tr w:rsidR="007508A2" w:rsidRPr="007508A2" w14:paraId="54B4CA9A" w14:textId="77777777" w:rsidTr="00BE0B0B">
        <w:tc>
          <w:tcPr>
            <w:tcW w:w="7508" w:type="dxa"/>
            <w:tcBorders>
              <w:top w:val="nil"/>
              <w:left w:val="single" w:sz="4" w:space="0" w:color="auto"/>
              <w:bottom w:val="single" w:sz="4" w:space="0" w:color="auto"/>
              <w:right w:val="single" w:sz="4" w:space="0" w:color="auto"/>
            </w:tcBorders>
            <w:shd w:val="clear" w:color="000000" w:fill="D9D9D9"/>
            <w:vAlign w:val="center"/>
            <w:hideMark/>
          </w:tcPr>
          <w:p w14:paraId="63D7CA25" w14:textId="77777777" w:rsidR="007508A2" w:rsidRPr="007508A2" w:rsidRDefault="007508A2" w:rsidP="007508A2">
            <w:pPr>
              <w:spacing w:after="0" w:line="240" w:lineRule="auto"/>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Aktiva</w:t>
            </w:r>
          </w:p>
        </w:tc>
        <w:tc>
          <w:tcPr>
            <w:tcW w:w="567" w:type="dxa"/>
            <w:tcBorders>
              <w:top w:val="nil"/>
              <w:left w:val="nil"/>
              <w:bottom w:val="single" w:sz="4" w:space="0" w:color="auto"/>
              <w:right w:val="single" w:sz="4" w:space="0" w:color="auto"/>
            </w:tcBorders>
            <w:shd w:val="clear" w:color="000000" w:fill="D9D9D9"/>
            <w:noWrap/>
            <w:vAlign w:val="bottom"/>
            <w:hideMark/>
          </w:tcPr>
          <w:p w14:paraId="6872D8F6" w14:textId="77777777" w:rsidR="007508A2" w:rsidRPr="007508A2" w:rsidRDefault="007508A2" w:rsidP="007508A2">
            <w:pPr>
              <w:spacing w:after="0" w:line="240" w:lineRule="auto"/>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18FA484F" w14:textId="0A3DA1D4" w:rsidR="007508A2" w:rsidRPr="007508A2" w:rsidRDefault="00C850B3" w:rsidP="00C850B3">
            <w:pPr>
              <w:spacing w:after="0" w:line="240" w:lineRule="auto"/>
              <w:jc w:val="center"/>
              <w:rPr>
                <w:rFonts w:eastAsia="Times New Roman" w:cstheme="minorHAnsi"/>
                <w:b/>
                <w:bCs/>
                <w:color w:val="000000"/>
                <w:sz w:val="16"/>
                <w:szCs w:val="16"/>
                <w:lang w:eastAsia="cs-CZ"/>
              </w:rPr>
            </w:pPr>
            <w:r w:rsidRPr="00C850B3">
              <w:rPr>
                <w:rFonts w:eastAsia="Times New Roman" w:cstheme="minorHAnsi"/>
                <w:b/>
                <w:bCs/>
                <w:color w:val="000000"/>
                <w:sz w:val="16"/>
                <w:szCs w:val="16"/>
                <w:lang w:eastAsia="cs-CZ"/>
              </w:rPr>
              <w:t>C0100</w:t>
            </w:r>
          </w:p>
        </w:tc>
      </w:tr>
      <w:tr w:rsidR="00C309BD" w:rsidRPr="007508A2" w14:paraId="5E5CF5CA" w14:textId="77777777" w:rsidTr="00374F37">
        <w:tc>
          <w:tcPr>
            <w:tcW w:w="7508" w:type="dxa"/>
            <w:tcBorders>
              <w:top w:val="nil"/>
              <w:left w:val="single" w:sz="4" w:space="0" w:color="auto"/>
              <w:bottom w:val="single" w:sz="4" w:space="0" w:color="auto"/>
              <w:right w:val="single" w:sz="4" w:space="0" w:color="auto"/>
            </w:tcBorders>
            <w:shd w:val="clear" w:color="000000" w:fill="FFFFFF"/>
            <w:vAlign w:val="bottom"/>
          </w:tcPr>
          <w:p w14:paraId="5CD29CD7" w14:textId="3176FFD2" w:rsidR="00C309BD" w:rsidRPr="00C309BD" w:rsidRDefault="00C309BD" w:rsidP="00C309BD">
            <w:pPr>
              <w:spacing w:after="0" w:line="240" w:lineRule="auto"/>
              <w:jc w:val="both"/>
              <w:rPr>
                <w:rFonts w:eastAsia="Times New Roman" w:cstheme="minorHAnsi"/>
                <w:color w:val="000000"/>
                <w:sz w:val="16"/>
                <w:szCs w:val="16"/>
                <w:lang w:eastAsia="cs-CZ"/>
              </w:rPr>
            </w:pPr>
            <w:r w:rsidRPr="00C309BD">
              <w:rPr>
                <w:rFonts w:ascii="Calibri" w:hAnsi="Calibri" w:cs="Calibri"/>
                <w:color w:val="000000"/>
                <w:sz w:val="16"/>
                <w:szCs w:val="16"/>
              </w:rPr>
              <w:t>Goodwill</w:t>
            </w:r>
          </w:p>
        </w:tc>
        <w:tc>
          <w:tcPr>
            <w:tcW w:w="567" w:type="dxa"/>
            <w:tcBorders>
              <w:top w:val="nil"/>
              <w:left w:val="nil"/>
              <w:bottom w:val="single" w:sz="4" w:space="0" w:color="auto"/>
              <w:right w:val="single" w:sz="4" w:space="0" w:color="auto"/>
            </w:tcBorders>
            <w:shd w:val="clear" w:color="000000" w:fill="FFFFFF"/>
            <w:vAlign w:val="bottom"/>
          </w:tcPr>
          <w:p w14:paraId="16D7C37E" w14:textId="3D40E6AB" w:rsidR="00C309BD" w:rsidRPr="00C309BD" w:rsidRDefault="00C309BD" w:rsidP="00C309BD">
            <w:pPr>
              <w:spacing w:after="0" w:line="240" w:lineRule="auto"/>
              <w:jc w:val="center"/>
              <w:rPr>
                <w:rFonts w:eastAsia="Times New Roman" w:cstheme="minorHAnsi"/>
                <w:color w:val="000000"/>
                <w:sz w:val="16"/>
                <w:szCs w:val="16"/>
                <w:lang w:eastAsia="cs-CZ"/>
              </w:rPr>
            </w:pPr>
            <w:r w:rsidRPr="00C309BD">
              <w:rPr>
                <w:rFonts w:ascii="Calibri" w:hAnsi="Calibri" w:cs="Calibri"/>
                <w:color w:val="000000"/>
                <w:sz w:val="16"/>
                <w:szCs w:val="16"/>
              </w:rPr>
              <w:t>R0010</w:t>
            </w:r>
          </w:p>
        </w:tc>
        <w:tc>
          <w:tcPr>
            <w:tcW w:w="1701" w:type="dxa"/>
            <w:tcBorders>
              <w:top w:val="nil"/>
              <w:left w:val="nil"/>
              <w:bottom w:val="single" w:sz="4" w:space="0" w:color="auto"/>
              <w:right w:val="single" w:sz="4" w:space="0" w:color="auto"/>
            </w:tcBorders>
            <w:shd w:val="clear" w:color="000000" w:fill="FFFFFF"/>
            <w:noWrap/>
            <w:vAlign w:val="bottom"/>
          </w:tcPr>
          <w:p w14:paraId="6E737503" w14:textId="77777777" w:rsidR="00C309BD" w:rsidRPr="007508A2" w:rsidRDefault="00C309BD" w:rsidP="00C309BD">
            <w:pPr>
              <w:spacing w:after="0" w:line="240" w:lineRule="auto"/>
              <w:jc w:val="right"/>
              <w:rPr>
                <w:rFonts w:eastAsia="Times New Roman" w:cstheme="minorHAnsi"/>
                <w:color w:val="000000"/>
                <w:sz w:val="16"/>
                <w:szCs w:val="16"/>
                <w:lang w:eastAsia="cs-CZ"/>
              </w:rPr>
            </w:pPr>
          </w:p>
        </w:tc>
      </w:tr>
      <w:tr w:rsidR="00C309BD" w:rsidRPr="007508A2" w14:paraId="00AD23A1" w14:textId="77777777" w:rsidTr="00374F37">
        <w:tc>
          <w:tcPr>
            <w:tcW w:w="7508" w:type="dxa"/>
            <w:tcBorders>
              <w:top w:val="nil"/>
              <w:left w:val="single" w:sz="4" w:space="0" w:color="auto"/>
              <w:bottom w:val="single" w:sz="4" w:space="0" w:color="auto"/>
              <w:right w:val="single" w:sz="4" w:space="0" w:color="auto"/>
            </w:tcBorders>
            <w:shd w:val="clear" w:color="000000" w:fill="FFFFFF"/>
            <w:vAlign w:val="bottom"/>
          </w:tcPr>
          <w:p w14:paraId="2CD914E3" w14:textId="473A6F45" w:rsidR="00C309BD" w:rsidRPr="00C309BD" w:rsidRDefault="00CE3C70" w:rsidP="00C309BD">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Odložené</w:t>
            </w:r>
            <w:r w:rsidR="00C309BD" w:rsidRPr="00C309BD">
              <w:rPr>
                <w:rFonts w:ascii="Calibri" w:hAnsi="Calibri" w:cs="Calibri"/>
                <w:color w:val="000000"/>
                <w:sz w:val="16"/>
                <w:szCs w:val="16"/>
              </w:rPr>
              <w:t xml:space="preserve"> pořizovací náklady</w:t>
            </w:r>
          </w:p>
        </w:tc>
        <w:tc>
          <w:tcPr>
            <w:tcW w:w="567" w:type="dxa"/>
            <w:tcBorders>
              <w:top w:val="nil"/>
              <w:left w:val="nil"/>
              <w:bottom w:val="single" w:sz="4" w:space="0" w:color="auto"/>
              <w:right w:val="single" w:sz="4" w:space="0" w:color="auto"/>
            </w:tcBorders>
            <w:shd w:val="clear" w:color="000000" w:fill="FFFFFF"/>
            <w:vAlign w:val="bottom"/>
          </w:tcPr>
          <w:p w14:paraId="1F031232" w14:textId="48578BE3" w:rsidR="00C309BD" w:rsidRPr="00C309BD" w:rsidRDefault="00C309BD" w:rsidP="00C309BD">
            <w:pPr>
              <w:spacing w:after="0" w:line="240" w:lineRule="auto"/>
              <w:jc w:val="center"/>
              <w:rPr>
                <w:rFonts w:eastAsia="Times New Roman" w:cstheme="minorHAnsi"/>
                <w:color w:val="000000"/>
                <w:sz w:val="16"/>
                <w:szCs w:val="16"/>
                <w:lang w:eastAsia="cs-CZ"/>
              </w:rPr>
            </w:pPr>
            <w:r w:rsidRPr="00C309BD">
              <w:rPr>
                <w:rFonts w:ascii="Calibri" w:hAnsi="Calibri" w:cs="Calibri"/>
                <w:color w:val="000000"/>
                <w:sz w:val="16"/>
                <w:szCs w:val="16"/>
              </w:rPr>
              <w:t>R0020</w:t>
            </w:r>
          </w:p>
        </w:tc>
        <w:tc>
          <w:tcPr>
            <w:tcW w:w="1701" w:type="dxa"/>
            <w:tcBorders>
              <w:top w:val="nil"/>
              <w:left w:val="nil"/>
              <w:bottom w:val="single" w:sz="4" w:space="0" w:color="auto"/>
              <w:right w:val="single" w:sz="4" w:space="0" w:color="auto"/>
            </w:tcBorders>
            <w:shd w:val="clear" w:color="000000" w:fill="FFFFFF"/>
            <w:noWrap/>
            <w:vAlign w:val="bottom"/>
          </w:tcPr>
          <w:p w14:paraId="53DDD7D0" w14:textId="77777777" w:rsidR="00C309BD" w:rsidRPr="007508A2" w:rsidRDefault="00C309BD" w:rsidP="00C309BD">
            <w:pPr>
              <w:spacing w:after="0" w:line="240" w:lineRule="auto"/>
              <w:jc w:val="right"/>
              <w:rPr>
                <w:rFonts w:eastAsia="Times New Roman" w:cstheme="minorHAnsi"/>
                <w:color w:val="000000"/>
                <w:sz w:val="16"/>
                <w:szCs w:val="16"/>
                <w:lang w:eastAsia="cs-CZ"/>
              </w:rPr>
            </w:pPr>
          </w:p>
        </w:tc>
      </w:tr>
      <w:tr w:rsidR="007508A2" w:rsidRPr="007508A2" w14:paraId="007C22E2" w14:textId="77777777" w:rsidTr="00BE0B0B">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6CD4FDC" w14:textId="329EB8A4" w:rsidR="007508A2" w:rsidRPr="007508A2" w:rsidRDefault="007508A2" w:rsidP="007508A2">
            <w:pPr>
              <w:spacing w:after="0" w:line="240" w:lineRule="auto"/>
              <w:jc w:val="both"/>
              <w:rPr>
                <w:rFonts w:eastAsia="Times New Roman" w:cstheme="minorHAnsi"/>
                <w:color w:val="000000"/>
                <w:sz w:val="16"/>
                <w:szCs w:val="16"/>
                <w:lang w:eastAsia="cs-CZ"/>
              </w:rPr>
            </w:pPr>
            <w:r w:rsidRPr="007508A2">
              <w:rPr>
                <w:rFonts w:eastAsia="Times New Roman" w:cstheme="minorHAnsi"/>
                <w:color w:val="000000"/>
                <w:sz w:val="16"/>
                <w:szCs w:val="16"/>
                <w:lang w:eastAsia="cs-CZ"/>
              </w:rPr>
              <w:t>Nehmotn</w:t>
            </w:r>
            <w:r w:rsidR="00CE3C70">
              <w:rPr>
                <w:rFonts w:eastAsia="Times New Roman" w:cstheme="minorHAnsi"/>
                <w:color w:val="000000"/>
                <w:sz w:val="16"/>
                <w:szCs w:val="16"/>
                <w:lang w:eastAsia="cs-CZ"/>
              </w:rPr>
              <w:t>ý</w:t>
            </w:r>
            <w:r w:rsidR="00391793">
              <w:rPr>
                <w:rFonts w:eastAsia="Times New Roman" w:cstheme="minorHAnsi"/>
                <w:color w:val="000000"/>
                <w:sz w:val="16"/>
                <w:szCs w:val="16"/>
                <w:lang w:eastAsia="cs-CZ"/>
              </w:rPr>
              <w:t xml:space="preserve"> majetek</w:t>
            </w:r>
          </w:p>
        </w:tc>
        <w:tc>
          <w:tcPr>
            <w:tcW w:w="567" w:type="dxa"/>
            <w:tcBorders>
              <w:top w:val="nil"/>
              <w:left w:val="nil"/>
              <w:bottom w:val="single" w:sz="4" w:space="0" w:color="auto"/>
              <w:right w:val="single" w:sz="4" w:space="0" w:color="auto"/>
            </w:tcBorders>
            <w:shd w:val="clear" w:color="000000" w:fill="FFFFFF"/>
            <w:vAlign w:val="bottom"/>
            <w:hideMark/>
          </w:tcPr>
          <w:p w14:paraId="7D7D838F" w14:textId="77777777" w:rsidR="007508A2" w:rsidRPr="007508A2" w:rsidRDefault="007508A2" w:rsidP="007508A2">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R0030</w:t>
            </w:r>
          </w:p>
        </w:tc>
        <w:tc>
          <w:tcPr>
            <w:tcW w:w="1701" w:type="dxa"/>
            <w:tcBorders>
              <w:top w:val="nil"/>
              <w:left w:val="nil"/>
              <w:bottom w:val="single" w:sz="4" w:space="0" w:color="auto"/>
              <w:right w:val="single" w:sz="4" w:space="0" w:color="auto"/>
            </w:tcBorders>
            <w:shd w:val="clear" w:color="000000" w:fill="FFFFFF"/>
            <w:noWrap/>
            <w:vAlign w:val="bottom"/>
            <w:hideMark/>
          </w:tcPr>
          <w:p w14:paraId="532D0094" w14:textId="77777777" w:rsidR="007508A2" w:rsidRPr="007508A2" w:rsidRDefault="007508A2" w:rsidP="007508A2">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23F157AB"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552E7E8" w14:textId="637B3275"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Odložené daňové pohledávky</w:t>
            </w:r>
          </w:p>
        </w:tc>
        <w:tc>
          <w:tcPr>
            <w:tcW w:w="567" w:type="dxa"/>
            <w:tcBorders>
              <w:top w:val="nil"/>
              <w:left w:val="nil"/>
              <w:bottom w:val="single" w:sz="4" w:space="0" w:color="auto"/>
              <w:right w:val="single" w:sz="4" w:space="0" w:color="auto"/>
            </w:tcBorders>
            <w:shd w:val="clear" w:color="000000" w:fill="FFFFFF"/>
            <w:vAlign w:val="bottom"/>
            <w:hideMark/>
          </w:tcPr>
          <w:p w14:paraId="489784C7"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R0040</w:t>
            </w:r>
          </w:p>
        </w:tc>
        <w:tc>
          <w:tcPr>
            <w:tcW w:w="1701" w:type="dxa"/>
            <w:tcBorders>
              <w:top w:val="nil"/>
              <w:left w:val="nil"/>
              <w:bottom w:val="single" w:sz="4" w:space="0" w:color="auto"/>
              <w:right w:val="single" w:sz="4" w:space="0" w:color="auto"/>
            </w:tcBorders>
            <w:shd w:val="clear" w:color="000000" w:fill="FFFFFF"/>
            <w:noWrap/>
            <w:vAlign w:val="bottom"/>
            <w:hideMark/>
          </w:tcPr>
          <w:p w14:paraId="77CD8EEF"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5D0F25FD"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CBD03E0" w14:textId="126E7502"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 xml:space="preserve">Přebytek </w:t>
            </w:r>
            <w:r w:rsidR="009C0AC4">
              <w:rPr>
                <w:rFonts w:ascii="Calibri" w:hAnsi="Calibri" w:cs="Calibri"/>
                <w:color w:val="000000"/>
                <w:sz w:val="16"/>
                <w:szCs w:val="16"/>
              </w:rPr>
              <w:t>penzijních</w:t>
            </w:r>
            <w:r w:rsidRPr="001E7F31">
              <w:rPr>
                <w:rFonts w:ascii="Calibri" w:hAnsi="Calibri" w:cs="Calibri"/>
                <w:color w:val="000000"/>
                <w:sz w:val="16"/>
                <w:szCs w:val="16"/>
              </w:rPr>
              <w:t xml:space="preserve"> dávek</w:t>
            </w:r>
          </w:p>
        </w:tc>
        <w:tc>
          <w:tcPr>
            <w:tcW w:w="567" w:type="dxa"/>
            <w:tcBorders>
              <w:top w:val="nil"/>
              <w:left w:val="nil"/>
              <w:bottom w:val="single" w:sz="4" w:space="0" w:color="auto"/>
              <w:right w:val="single" w:sz="4" w:space="0" w:color="auto"/>
            </w:tcBorders>
            <w:shd w:val="clear" w:color="000000" w:fill="FFFFFF"/>
            <w:vAlign w:val="bottom"/>
            <w:hideMark/>
          </w:tcPr>
          <w:p w14:paraId="7A4A908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R0050</w:t>
            </w:r>
          </w:p>
        </w:tc>
        <w:tc>
          <w:tcPr>
            <w:tcW w:w="1701" w:type="dxa"/>
            <w:tcBorders>
              <w:top w:val="nil"/>
              <w:left w:val="nil"/>
              <w:bottom w:val="single" w:sz="4" w:space="0" w:color="auto"/>
              <w:right w:val="single" w:sz="4" w:space="0" w:color="auto"/>
            </w:tcBorders>
            <w:shd w:val="clear" w:color="000000" w:fill="FFFFFF"/>
            <w:noWrap/>
            <w:vAlign w:val="bottom"/>
            <w:hideMark/>
          </w:tcPr>
          <w:p w14:paraId="1997511B"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0D622A4E"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931490E" w14:textId="42204EE8" w:rsidR="001E7F31" w:rsidRPr="001E7F31" w:rsidRDefault="009C0AC4" w:rsidP="001E7F31">
            <w:pPr>
              <w:spacing w:after="0" w:line="240" w:lineRule="auto"/>
              <w:jc w:val="both"/>
              <w:rPr>
                <w:rFonts w:eastAsia="Times New Roman" w:cstheme="minorHAnsi"/>
                <w:color w:val="000000"/>
                <w:sz w:val="16"/>
                <w:szCs w:val="16"/>
                <w:lang w:eastAsia="cs-CZ"/>
              </w:rPr>
            </w:pPr>
            <w:r w:rsidRPr="009C0AC4">
              <w:rPr>
                <w:rFonts w:ascii="Calibri" w:hAnsi="Calibri" w:cs="Calibri"/>
                <w:color w:val="000000"/>
                <w:sz w:val="16"/>
                <w:szCs w:val="16"/>
              </w:rPr>
              <w:t>Pozemky, stavby a zařízení pro vlastní využití</w:t>
            </w:r>
          </w:p>
        </w:tc>
        <w:tc>
          <w:tcPr>
            <w:tcW w:w="567" w:type="dxa"/>
            <w:tcBorders>
              <w:top w:val="nil"/>
              <w:left w:val="nil"/>
              <w:bottom w:val="single" w:sz="4" w:space="0" w:color="auto"/>
              <w:right w:val="single" w:sz="4" w:space="0" w:color="auto"/>
            </w:tcBorders>
            <w:shd w:val="clear" w:color="000000" w:fill="FFFFFF"/>
            <w:vAlign w:val="bottom"/>
            <w:hideMark/>
          </w:tcPr>
          <w:p w14:paraId="62CC785F"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R0060</w:t>
            </w:r>
          </w:p>
        </w:tc>
        <w:tc>
          <w:tcPr>
            <w:tcW w:w="1701" w:type="dxa"/>
            <w:tcBorders>
              <w:top w:val="nil"/>
              <w:left w:val="nil"/>
              <w:bottom w:val="single" w:sz="4" w:space="0" w:color="auto"/>
              <w:right w:val="single" w:sz="4" w:space="0" w:color="auto"/>
            </w:tcBorders>
            <w:shd w:val="clear" w:color="000000" w:fill="FFFFFF"/>
            <w:noWrap/>
            <w:vAlign w:val="bottom"/>
            <w:hideMark/>
          </w:tcPr>
          <w:p w14:paraId="5932CFFE"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399 939</w:t>
            </w:r>
          </w:p>
        </w:tc>
      </w:tr>
      <w:tr w:rsidR="001E7F31" w:rsidRPr="007508A2" w14:paraId="7FD8CF50"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9FD9C73" w14:textId="1CF2C1B5"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 xml:space="preserve">Investice </w:t>
            </w:r>
          </w:p>
        </w:tc>
        <w:tc>
          <w:tcPr>
            <w:tcW w:w="567" w:type="dxa"/>
            <w:tcBorders>
              <w:top w:val="nil"/>
              <w:left w:val="nil"/>
              <w:bottom w:val="single" w:sz="4" w:space="0" w:color="auto"/>
              <w:right w:val="single" w:sz="4" w:space="0" w:color="auto"/>
            </w:tcBorders>
            <w:shd w:val="clear" w:color="000000" w:fill="FFFFFF"/>
            <w:vAlign w:val="bottom"/>
            <w:hideMark/>
          </w:tcPr>
          <w:p w14:paraId="61679E6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R0070</w:t>
            </w:r>
          </w:p>
        </w:tc>
        <w:tc>
          <w:tcPr>
            <w:tcW w:w="1701" w:type="dxa"/>
            <w:tcBorders>
              <w:top w:val="nil"/>
              <w:left w:val="nil"/>
              <w:bottom w:val="single" w:sz="4" w:space="0" w:color="auto"/>
              <w:right w:val="single" w:sz="4" w:space="0" w:color="auto"/>
            </w:tcBorders>
            <w:shd w:val="clear" w:color="000000" w:fill="FFFFFF"/>
            <w:noWrap/>
            <w:vAlign w:val="bottom"/>
            <w:hideMark/>
          </w:tcPr>
          <w:p w14:paraId="5F3498DA"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152 988 181</w:t>
            </w:r>
          </w:p>
        </w:tc>
      </w:tr>
      <w:tr w:rsidR="001E7F31" w:rsidRPr="007508A2" w14:paraId="5FCF5BDC"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B963463" w14:textId="4EEB4CE2" w:rsidR="001E7F31" w:rsidRPr="001E7F31" w:rsidRDefault="005128A9" w:rsidP="001E7F31">
            <w:pPr>
              <w:spacing w:after="0" w:line="240" w:lineRule="auto"/>
              <w:jc w:val="both"/>
              <w:rPr>
                <w:rFonts w:eastAsia="Times New Roman" w:cstheme="minorHAnsi"/>
                <w:color w:val="000000"/>
                <w:sz w:val="16"/>
                <w:szCs w:val="16"/>
                <w:lang w:eastAsia="cs-CZ"/>
              </w:rPr>
            </w:pPr>
            <w:r w:rsidRPr="005128A9">
              <w:rPr>
                <w:rFonts w:ascii="Calibri" w:hAnsi="Calibri" w:cs="Calibri"/>
                <w:color w:val="000000"/>
                <w:sz w:val="16"/>
                <w:szCs w:val="16"/>
              </w:rPr>
              <w:t>Nemovitosti jiné než pro vlastní využití</w:t>
            </w:r>
          </w:p>
        </w:tc>
        <w:tc>
          <w:tcPr>
            <w:tcW w:w="567" w:type="dxa"/>
            <w:tcBorders>
              <w:top w:val="nil"/>
              <w:left w:val="nil"/>
              <w:bottom w:val="single" w:sz="4" w:space="0" w:color="auto"/>
              <w:right w:val="single" w:sz="4" w:space="0" w:color="auto"/>
            </w:tcBorders>
            <w:shd w:val="clear" w:color="000000" w:fill="FFFFFF"/>
            <w:vAlign w:val="bottom"/>
            <w:hideMark/>
          </w:tcPr>
          <w:p w14:paraId="0C648B6A"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R0080</w:t>
            </w:r>
          </w:p>
        </w:tc>
        <w:tc>
          <w:tcPr>
            <w:tcW w:w="1701" w:type="dxa"/>
            <w:tcBorders>
              <w:top w:val="nil"/>
              <w:left w:val="nil"/>
              <w:bottom w:val="single" w:sz="4" w:space="0" w:color="auto"/>
              <w:right w:val="single" w:sz="4" w:space="0" w:color="auto"/>
            </w:tcBorders>
            <w:shd w:val="clear" w:color="000000" w:fill="FFFFFF"/>
            <w:noWrap/>
            <w:vAlign w:val="bottom"/>
            <w:hideMark/>
          </w:tcPr>
          <w:p w14:paraId="084525FF"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32AEC61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103F7EA" w14:textId="21DA7430" w:rsidR="001E7F31" w:rsidRPr="001E7F31" w:rsidRDefault="001C6ADA" w:rsidP="001E7F31">
            <w:pPr>
              <w:spacing w:after="0" w:line="240" w:lineRule="auto"/>
              <w:jc w:val="both"/>
              <w:rPr>
                <w:rFonts w:eastAsia="Times New Roman" w:cstheme="minorHAnsi"/>
                <w:color w:val="000000"/>
                <w:sz w:val="16"/>
                <w:szCs w:val="16"/>
                <w:lang w:eastAsia="cs-CZ"/>
              </w:rPr>
            </w:pPr>
            <w:r w:rsidRPr="001C6ADA">
              <w:rPr>
                <w:rFonts w:ascii="Calibri" w:hAnsi="Calibri" w:cs="Calibri"/>
                <w:color w:val="000000"/>
                <w:sz w:val="16"/>
                <w:szCs w:val="16"/>
              </w:rPr>
              <w:t>Účasti v dceřiných, společných a přidružených podnicích</w:t>
            </w:r>
          </w:p>
        </w:tc>
        <w:tc>
          <w:tcPr>
            <w:tcW w:w="567" w:type="dxa"/>
            <w:tcBorders>
              <w:top w:val="nil"/>
              <w:left w:val="nil"/>
              <w:bottom w:val="single" w:sz="4" w:space="0" w:color="auto"/>
              <w:right w:val="single" w:sz="4" w:space="0" w:color="auto"/>
            </w:tcBorders>
            <w:shd w:val="clear" w:color="000000" w:fill="FFFFFF"/>
            <w:vAlign w:val="bottom"/>
            <w:hideMark/>
          </w:tcPr>
          <w:p w14:paraId="004AA28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R0090</w:t>
            </w:r>
          </w:p>
        </w:tc>
        <w:tc>
          <w:tcPr>
            <w:tcW w:w="1701" w:type="dxa"/>
            <w:tcBorders>
              <w:top w:val="nil"/>
              <w:left w:val="nil"/>
              <w:bottom w:val="single" w:sz="4" w:space="0" w:color="auto"/>
              <w:right w:val="single" w:sz="4" w:space="0" w:color="auto"/>
            </w:tcBorders>
            <w:shd w:val="clear" w:color="000000" w:fill="FFFFFF"/>
            <w:noWrap/>
            <w:vAlign w:val="bottom"/>
            <w:hideMark/>
          </w:tcPr>
          <w:p w14:paraId="4A4ACD32"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1488A7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5F1464D" w14:textId="722F4519"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Akcie</w:t>
            </w:r>
          </w:p>
        </w:tc>
        <w:tc>
          <w:tcPr>
            <w:tcW w:w="567" w:type="dxa"/>
            <w:tcBorders>
              <w:top w:val="nil"/>
              <w:left w:val="nil"/>
              <w:bottom w:val="single" w:sz="4" w:space="0" w:color="auto"/>
              <w:right w:val="single" w:sz="4" w:space="0" w:color="auto"/>
            </w:tcBorders>
            <w:shd w:val="clear" w:color="000000" w:fill="FFFFFF"/>
            <w:vAlign w:val="bottom"/>
            <w:hideMark/>
          </w:tcPr>
          <w:p w14:paraId="4422E6CB"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R0100</w:t>
            </w:r>
          </w:p>
        </w:tc>
        <w:tc>
          <w:tcPr>
            <w:tcW w:w="1701" w:type="dxa"/>
            <w:tcBorders>
              <w:top w:val="nil"/>
              <w:left w:val="nil"/>
              <w:bottom w:val="single" w:sz="4" w:space="0" w:color="auto"/>
              <w:right w:val="single" w:sz="4" w:space="0" w:color="auto"/>
            </w:tcBorders>
            <w:shd w:val="clear" w:color="000000" w:fill="FFFFFF"/>
            <w:noWrap/>
            <w:vAlign w:val="bottom"/>
            <w:hideMark/>
          </w:tcPr>
          <w:p w14:paraId="09FCC61A"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5DAF3B6"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16F3F755" w14:textId="71D51206"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Akcie – kotované</w:t>
            </w:r>
          </w:p>
        </w:tc>
        <w:tc>
          <w:tcPr>
            <w:tcW w:w="567" w:type="dxa"/>
            <w:tcBorders>
              <w:top w:val="nil"/>
              <w:left w:val="nil"/>
              <w:bottom w:val="single" w:sz="4" w:space="0" w:color="auto"/>
              <w:right w:val="single" w:sz="4" w:space="0" w:color="auto"/>
            </w:tcBorders>
            <w:shd w:val="clear" w:color="000000" w:fill="FFFFFF"/>
            <w:vAlign w:val="bottom"/>
            <w:hideMark/>
          </w:tcPr>
          <w:p w14:paraId="28642909"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R0110</w:t>
            </w:r>
          </w:p>
        </w:tc>
        <w:tc>
          <w:tcPr>
            <w:tcW w:w="1701" w:type="dxa"/>
            <w:tcBorders>
              <w:top w:val="nil"/>
              <w:left w:val="nil"/>
              <w:bottom w:val="single" w:sz="4" w:space="0" w:color="auto"/>
              <w:right w:val="single" w:sz="4" w:space="0" w:color="auto"/>
            </w:tcBorders>
            <w:shd w:val="clear" w:color="000000" w:fill="FFFFFF"/>
            <w:noWrap/>
            <w:vAlign w:val="bottom"/>
            <w:hideMark/>
          </w:tcPr>
          <w:p w14:paraId="2586F7BE"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2398EF59"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BC47617" w14:textId="19FB6748"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Akcie – nekotované</w:t>
            </w:r>
          </w:p>
        </w:tc>
        <w:tc>
          <w:tcPr>
            <w:tcW w:w="567" w:type="dxa"/>
            <w:tcBorders>
              <w:top w:val="nil"/>
              <w:left w:val="nil"/>
              <w:bottom w:val="single" w:sz="4" w:space="0" w:color="auto"/>
              <w:right w:val="single" w:sz="4" w:space="0" w:color="auto"/>
            </w:tcBorders>
            <w:shd w:val="clear" w:color="000000" w:fill="FFFFFF"/>
            <w:vAlign w:val="bottom"/>
            <w:hideMark/>
          </w:tcPr>
          <w:p w14:paraId="3AF33C8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R0120</w:t>
            </w:r>
          </w:p>
        </w:tc>
        <w:tc>
          <w:tcPr>
            <w:tcW w:w="1701" w:type="dxa"/>
            <w:tcBorders>
              <w:top w:val="nil"/>
              <w:left w:val="nil"/>
              <w:bottom w:val="single" w:sz="4" w:space="0" w:color="auto"/>
              <w:right w:val="single" w:sz="4" w:space="0" w:color="auto"/>
            </w:tcBorders>
            <w:shd w:val="clear" w:color="000000" w:fill="FFFFFF"/>
            <w:noWrap/>
            <w:vAlign w:val="bottom"/>
            <w:hideMark/>
          </w:tcPr>
          <w:p w14:paraId="2066D227"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0EB0AD0C"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D22E041" w14:textId="4C92DF07"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Dluhopisy</w:t>
            </w:r>
          </w:p>
        </w:tc>
        <w:tc>
          <w:tcPr>
            <w:tcW w:w="567" w:type="dxa"/>
            <w:tcBorders>
              <w:top w:val="nil"/>
              <w:left w:val="nil"/>
              <w:bottom w:val="single" w:sz="4" w:space="0" w:color="auto"/>
              <w:right w:val="single" w:sz="4" w:space="0" w:color="auto"/>
            </w:tcBorders>
            <w:shd w:val="clear" w:color="000000" w:fill="FFFFFF"/>
            <w:vAlign w:val="bottom"/>
            <w:hideMark/>
          </w:tcPr>
          <w:p w14:paraId="7E01FCEB"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R0130</w:t>
            </w:r>
          </w:p>
        </w:tc>
        <w:tc>
          <w:tcPr>
            <w:tcW w:w="1701" w:type="dxa"/>
            <w:tcBorders>
              <w:top w:val="nil"/>
              <w:left w:val="nil"/>
              <w:bottom w:val="single" w:sz="4" w:space="0" w:color="auto"/>
              <w:right w:val="single" w:sz="4" w:space="0" w:color="auto"/>
            </w:tcBorders>
            <w:shd w:val="clear" w:color="000000" w:fill="FFFFFF"/>
            <w:noWrap/>
            <w:vAlign w:val="bottom"/>
            <w:hideMark/>
          </w:tcPr>
          <w:p w14:paraId="2D50C560"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11 703 165</w:t>
            </w:r>
          </w:p>
        </w:tc>
      </w:tr>
      <w:tr w:rsidR="001E7F31" w:rsidRPr="007508A2" w14:paraId="31E21538"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AEB6F8A" w14:textId="6F347B47"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Státní dluhopisy</w:t>
            </w:r>
          </w:p>
        </w:tc>
        <w:tc>
          <w:tcPr>
            <w:tcW w:w="567" w:type="dxa"/>
            <w:tcBorders>
              <w:top w:val="nil"/>
              <w:left w:val="nil"/>
              <w:bottom w:val="single" w:sz="4" w:space="0" w:color="auto"/>
              <w:right w:val="single" w:sz="4" w:space="0" w:color="auto"/>
            </w:tcBorders>
            <w:shd w:val="clear" w:color="000000" w:fill="FFFFFF"/>
            <w:vAlign w:val="bottom"/>
            <w:hideMark/>
          </w:tcPr>
          <w:p w14:paraId="2522D43B"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R0140</w:t>
            </w:r>
          </w:p>
        </w:tc>
        <w:tc>
          <w:tcPr>
            <w:tcW w:w="1701" w:type="dxa"/>
            <w:tcBorders>
              <w:top w:val="nil"/>
              <w:left w:val="nil"/>
              <w:bottom w:val="single" w:sz="4" w:space="0" w:color="auto"/>
              <w:right w:val="single" w:sz="4" w:space="0" w:color="auto"/>
            </w:tcBorders>
            <w:shd w:val="clear" w:color="000000" w:fill="FFFFFF"/>
            <w:noWrap/>
            <w:vAlign w:val="bottom"/>
            <w:hideMark/>
          </w:tcPr>
          <w:p w14:paraId="44349FC5"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11 703 165</w:t>
            </w:r>
          </w:p>
        </w:tc>
      </w:tr>
      <w:tr w:rsidR="001E7F31" w:rsidRPr="007508A2" w14:paraId="08362CAA"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4954D837" w14:textId="482CFBE6"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Korporátní dluhopisy</w:t>
            </w:r>
          </w:p>
        </w:tc>
        <w:tc>
          <w:tcPr>
            <w:tcW w:w="567" w:type="dxa"/>
            <w:tcBorders>
              <w:top w:val="nil"/>
              <w:left w:val="nil"/>
              <w:bottom w:val="single" w:sz="4" w:space="0" w:color="auto"/>
              <w:right w:val="single" w:sz="4" w:space="0" w:color="auto"/>
            </w:tcBorders>
            <w:shd w:val="clear" w:color="000000" w:fill="FFFFFF"/>
            <w:vAlign w:val="bottom"/>
            <w:hideMark/>
          </w:tcPr>
          <w:p w14:paraId="56F78BC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R0150</w:t>
            </w:r>
          </w:p>
        </w:tc>
        <w:tc>
          <w:tcPr>
            <w:tcW w:w="1701" w:type="dxa"/>
            <w:tcBorders>
              <w:top w:val="nil"/>
              <w:left w:val="nil"/>
              <w:bottom w:val="single" w:sz="4" w:space="0" w:color="auto"/>
              <w:right w:val="single" w:sz="4" w:space="0" w:color="auto"/>
            </w:tcBorders>
            <w:shd w:val="clear" w:color="000000" w:fill="FFFFFF"/>
            <w:noWrap/>
            <w:vAlign w:val="bottom"/>
            <w:hideMark/>
          </w:tcPr>
          <w:p w14:paraId="71BA03F1"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6BE07B9D"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15C2FD4" w14:textId="280F0790"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Strukturované dluhopisy</w:t>
            </w:r>
          </w:p>
        </w:tc>
        <w:tc>
          <w:tcPr>
            <w:tcW w:w="567" w:type="dxa"/>
            <w:tcBorders>
              <w:top w:val="nil"/>
              <w:left w:val="nil"/>
              <w:bottom w:val="single" w:sz="4" w:space="0" w:color="auto"/>
              <w:right w:val="single" w:sz="4" w:space="0" w:color="auto"/>
            </w:tcBorders>
            <w:shd w:val="clear" w:color="000000" w:fill="FFFFFF"/>
            <w:vAlign w:val="bottom"/>
            <w:hideMark/>
          </w:tcPr>
          <w:p w14:paraId="68A3A91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R0160</w:t>
            </w:r>
          </w:p>
        </w:tc>
        <w:tc>
          <w:tcPr>
            <w:tcW w:w="1701" w:type="dxa"/>
            <w:tcBorders>
              <w:top w:val="nil"/>
              <w:left w:val="nil"/>
              <w:bottom w:val="single" w:sz="4" w:space="0" w:color="auto"/>
              <w:right w:val="single" w:sz="4" w:space="0" w:color="auto"/>
            </w:tcBorders>
            <w:shd w:val="clear" w:color="000000" w:fill="FFFFFF"/>
            <w:noWrap/>
            <w:vAlign w:val="bottom"/>
            <w:hideMark/>
          </w:tcPr>
          <w:p w14:paraId="699A9F5C"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7CE2EE73"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1DF32528" w14:textId="434B4DD8" w:rsidR="001E7F31" w:rsidRPr="001E7F31" w:rsidRDefault="00A01FF1" w:rsidP="001E7F31">
            <w:pPr>
              <w:spacing w:after="0" w:line="240" w:lineRule="auto"/>
              <w:jc w:val="both"/>
              <w:rPr>
                <w:rFonts w:eastAsia="Times New Roman" w:cstheme="minorHAnsi"/>
                <w:color w:val="000000"/>
                <w:sz w:val="16"/>
                <w:szCs w:val="16"/>
                <w:lang w:eastAsia="cs-CZ"/>
              </w:rPr>
            </w:pPr>
            <w:r w:rsidRPr="00A01FF1">
              <w:rPr>
                <w:rFonts w:ascii="Calibri" w:hAnsi="Calibri" w:cs="Calibri"/>
                <w:color w:val="000000"/>
                <w:sz w:val="16"/>
                <w:szCs w:val="16"/>
              </w:rPr>
              <w:t>Cenné papíry zajištěné aktiv</w:t>
            </w:r>
            <w:r w:rsidR="00603897">
              <w:rPr>
                <w:rFonts w:ascii="Calibri" w:hAnsi="Calibri" w:cs="Calibri"/>
                <w:color w:val="000000"/>
                <w:sz w:val="16"/>
                <w:szCs w:val="16"/>
              </w:rPr>
              <w:t>y</w:t>
            </w:r>
          </w:p>
        </w:tc>
        <w:tc>
          <w:tcPr>
            <w:tcW w:w="567" w:type="dxa"/>
            <w:tcBorders>
              <w:top w:val="nil"/>
              <w:left w:val="nil"/>
              <w:bottom w:val="single" w:sz="4" w:space="0" w:color="auto"/>
              <w:right w:val="single" w:sz="4" w:space="0" w:color="auto"/>
            </w:tcBorders>
            <w:shd w:val="clear" w:color="000000" w:fill="FFFFFF"/>
            <w:vAlign w:val="bottom"/>
            <w:hideMark/>
          </w:tcPr>
          <w:p w14:paraId="13E53165"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R0170</w:t>
            </w:r>
          </w:p>
        </w:tc>
        <w:tc>
          <w:tcPr>
            <w:tcW w:w="1701" w:type="dxa"/>
            <w:tcBorders>
              <w:top w:val="nil"/>
              <w:left w:val="nil"/>
              <w:bottom w:val="single" w:sz="4" w:space="0" w:color="auto"/>
              <w:right w:val="single" w:sz="4" w:space="0" w:color="auto"/>
            </w:tcBorders>
            <w:shd w:val="clear" w:color="000000" w:fill="FFFFFF"/>
            <w:noWrap/>
            <w:vAlign w:val="bottom"/>
            <w:hideMark/>
          </w:tcPr>
          <w:p w14:paraId="5AA4BC91"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613F3118"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8E2A192" w14:textId="04FE994E" w:rsidR="001E7F31" w:rsidRPr="001E7F31" w:rsidRDefault="006C4BCE" w:rsidP="001E7F31">
            <w:pPr>
              <w:spacing w:after="0" w:line="240" w:lineRule="auto"/>
              <w:jc w:val="both"/>
              <w:rPr>
                <w:rFonts w:eastAsia="Times New Roman" w:cstheme="minorHAnsi"/>
                <w:color w:val="000000"/>
                <w:sz w:val="16"/>
                <w:szCs w:val="16"/>
                <w:lang w:eastAsia="cs-CZ"/>
              </w:rPr>
            </w:pPr>
            <w:r w:rsidRPr="006C4BCE">
              <w:rPr>
                <w:rFonts w:ascii="Calibri" w:hAnsi="Calibri" w:cs="Calibri"/>
                <w:color w:val="000000"/>
                <w:sz w:val="16"/>
                <w:szCs w:val="16"/>
              </w:rPr>
              <w:t>Investice v investičních fondec</w:t>
            </w:r>
            <w:r>
              <w:rPr>
                <w:rFonts w:ascii="Calibri" w:hAnsi="Calibri" w:cs="Calibri"/>
                <w:color w:val="000000"/>
                <w:sz w:val="16"/>
                <w:szCs w:val="16"/>
              </w:rPr>
              <w:t>h</w:t>
            </w:r>
          </w:p>
        </w:tc>
        <w:tc>
          <w:tcPr>
            <w:tcW w:w="567" w:type="dxa"/>
            <w:tcBorders>
              <w:top w:val="nil"/>
              <w:left w:val="nil"/>
              <w:bottom w:val="single" w:sz="4" w:space="0" w:color="auto"/>
              <w:right w:val="single" w:sz="4" w:space="0" w:color="auto"/>
            </w:tcBorders>
            <w:shd w:val="clear" w:color="000000" w:fill="FFFFFF"/>
            <w:vAlign w:val="bottom"/>
            <w:hideMark/>
          </w:tcPr>
          <w:p w14:paraId="195D382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R0180</w:t>
            </w:r>
          </w:p>
        </w:tc>
        <w:tc>
          <w:tcPr>
            <w:tcW w:w="1701" w:type="dxa"/>
            <w:tcBorders>
              <w:top w:val="nil"/>
              <w:left w:val="nil"/>
              <w:bottom w:val="single" w:sz="4" w:space="0" w:color="auto"/>
              <w:right w:val="single" w:sz="4" w:space="0" w:color="auto"/>
            </w:tcBorders>
            <w:shd w:val="clear" w:color="000000" w:fill="FFFFFF"/>
            <w:noWrap/>
            <w:vAlign w:val="bottom"/>
            <w:hideMark/>
          </w:tcPr>
          <w:p w14:paraId="284103E5"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238C4DFD"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504B5BCE" w14:textId="3FA0558B" w:rsidR="001E7F31" w:rsidRPr="001E7F31" w:rsidRDefault="006C4BCE" w:rsidP="001E7F31">
            <w:pPr>
              <w:spacing w:after="0" w:line="240" w:lineRule="auto"/>
              <w:jc w:val="both"/>
              <w:rPr>
                <w:rFonts w:eastAsia="Times New Roman" w:cstheme="minorHAnsi"/>
                <w:color w:val="000000"/>
                <w:sz w:val="16"/>
                <w:szCs w:val="16"/>
                <w:lang w:eastAsia="cs-CZ"/>
              </w:rPr>
            </w:pPr>
            <w:r w:rsidRPr="006C4BCE">
              <w:rPr>
                <w:rFonts w:ascii="Calibri" w:hAnsi="Calibri" w:cs="Calibri"/>
                <w:color w:val="000000"/>
                <w:sz w:val="16"/>
                <w:szCs w:val="16"/>
              </w:rPr>
              <w:t>Kladná reálná hodnota derivátů</w:t>
            </w:r>
          </w:p>
        </w:tc>
        <w:tc>
          <w:tcPr>
            <w:tcW w:w="567" w:type="dxa"/>
            <w:tcBorders>
              <w:top w:val="nil"/>
              <w:left w:val="nil"/>
              <w:bottom w:val="single" w:sz="4" w:space="0" w:color="auto"/>
              <w:right w:val="single" w:sz="4" w:space="0" w:color="auto"/>
            </w:tcBorders>
            <w:shd w:val="clear" w:color="000000" w:fill="FFFFFF"/>
            <w:vAlign w:val="bottom"/>
            <w:hideMark/>
          </w:tcPr>
          <w:p w14:paraId="760DD1D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R0190</w:t>
            </w:r>
          </w:p>
        </w:tc>
        <w:tc>
          <w:tcPr>
            <w:tcW w:w="1701" w:type="dxa"/>
            <w:tcBorders>
              <w:top w:val="nil"/>
              <w:left w:val="nil"/>
              <w:bottom w:val="single" w:sz="4" w:space="0" w:color="auto"/>
              <w:right w:val="single" w:sz="4" w:space="0" w:color="auto"/>
            </w:tcBorders>
            <w:shd w:val="clear" w:color="000000" w:fill="FFFFFF"/>
            <w:noWrap/>
            <w:vAlign w:val="bottom"/>
            <w:hideMark/>
          </w:tcPr>
          <w:p w14:paraId="0B38F7EF"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6E90DBE2"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5898A54C" w14:textId="5A455CF1"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Vklady jiné než ekvivalenty</w:t>
            </w:r>
            <w:r w:rsidR="00F9717E">
              <w:rPr>
                <w:rFonts w:ascii="Calibri" w:hAnsi="Calibri" w:cs="Calibri"/>
                <w:color w:val="000000"/>
                <w:sz w:val="16"/>
                <w:szCs w:val="16"/>
              </w:rPr>
              <w:t xml:space="preserve"> hotovosti</w:t>
            </w:r>
          </w:p>
        </w:tc>
        <w:tc>
          <w:tcPr>
            <w:tcW w:w="567" w:type="dxa"/>
            <w:tcBorders>
              <w:top w:val="nil"/>
              <w:left w:val="nil"/>
              <w:bottom w:val="single" w:sz="4" w:space="0" w:color="auto"/>
              <w:right w:val="single" w:sz="4" w:space="0" w:color="auto"/>
            </w:tcBorders>
            <w:shd w:val="clear" w:color="000000" w:fill="FFFFFF"/>
            <w:vAlign w:val="bottom"/>
            <w:hideMark/>
          </w:tcPr>
          <w:p w14:paraId="730A2BE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R0200</w:t>
            </w:r>
          </w:p>
        </w:tc>
        <w:tc>
          <w:tcPr>
            <w:tcW w:w="1701" w:type="dxa"/>
            <w:tcBorders>
              <w:top w:val="nil"/>
              <w:left w:val="nil"/>
              <w:bottom w:val="single" w:sz="4" w:space="0" w:color="auto"/>
              <w:right w:val="single" w:sz="4" w:space="0" w:color="auto"/>
            </w:tcBorders>
            <w:shd w:val="clear" w:color="000000" w:fill="FFFFFF"/>
            <w:noWrap/>
            <w:vAlign w:val="bottom"/>
            <w:hideMark/>
          </w:tcPr>
          <w:p w14:paraId="684307D8"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141 285 016</w:t>
            </w:r>
          </w:p>
        </w:tc>
      </w:tr>
      <w:tr w:rsidR="001E7F31" w:rsidRPr="007508A2" w14:paraId="7719500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465054F4" w14:textId="3BDBCE59" w:rsidR="001E7F31" w:rsidRPr="001E7F31" w:rsidRDefault="00C20CD9"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Jiné</w:t>
            </w:r>
            <w:r w:rsidR="001E7F31" w:rsidRPr="001E7F31">
              <w:rPr>
                <w:rFonts w:ascii="Calibri" w:hAnsi="Calibri" w:cs="Calibri"/>
                <w:color w:val="000000"/>
                <w:sz w:val="16"/>
                <w:szCs w:val="16"/>
              </w:rPr>
              <w:t xml:space="preserve"> investice</w:t>
            </w:r>
          </w:p>
        </w:tc>
        <w:tc>
          <w:tcPr>
            <w:tcW w:w="567" w:type="dxa"/>
            <w:tcBorders>
              <w:top w:val="nil"/>
              <w:left w:val="nil"/>
              <w:bottom w:val="single" w:sz="4" w:space="0" w:color="auto"/>
              <w:right w:val="single" w:sz="4" w:space="0" w:color="auto"/>
            </w:tcBorders>
            <w:shd w:val="clear" w:color="000000" w:fill="FFFFFF"/>
            <w:vAlign w:val="bottom"/>
            <w:hideMark/>
          </w:tcPr>
          <w:p w14:paraId="12D7E531"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R0210</w:t>
            </w:r>
          </w:p>
        </w:tc>
        <w:tc>
          <w:tcPr>
            <w:tcW w:w="1701" w:type="dxa"/>
            <w:tcBorders>
              <w:top w:val="nil"/>
              <w:left w:val="nil"/>
              <w:bottom w:val="single" w:sz="4" w:space="0" w:color="auto"/>
              <w:right w:val="single" w:sz="4" w:space="0" w:color="auto"/>
            </w:tcBorders>
            <w:shd w:val="clear" w:color="000000" w:fill="FFFFFF"/>
            <w:noWrap/>
            <w:vAlign w:val="bottom"/>
            <w:hideMark/>
          </w:tcPr>
          <w:p w14:paraId="7F804663"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3219E933"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11F22F0" w14:textId="12FC9A9F"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 xml:space="preserve">Aktiva držená </w:t>
            </w:r>
            <w:r w:rsidR="00C20CD9">
              <w:rPr>
                <w:rFonts w:ascii="Calibri" w:hAnsi="Calibri" w:cs="Calibri"/>
                <w:color w:val="000000"/>
                <w:sz w:val="16"/>
                <w:szCs w:val="16"/>
              </w:rPr>
              <w:t>u pojištění</w:t>
            </w:r>
            <w:r w:rsidRPr="001E7F31">
              <w:rPr>
                <w:rFonts w:ascii="Calibri" w:hAnsi="Calibri" w:cs="Calibri"/>
                <w:color w:val="000000"/>
                <w:sz w:val="16"/>
                <w:szCs w:val="16"/>
              </w:rPr>
              <w:t xml:space="preserve"> s plněním vázaným na index nebo na hodnotu investičního fondu</w:t>
            </w:r>
          </w:p>
        </w:tc>
        <w:tc>
          <w:tcPr>
            <w:tcW w:w="567" w:type="dxa"/>
            <w:tcBorders>
              <w:top w:val="nil"/>
              <w:left w:val="nil"/>
              <w:bottom w:val="single" w:sz="4" w:space="0" w:color="auto"/>
              <w:right w:val="single" w:sz="4" w:space="0" w:color="auto"/>
            </w:tcBorders>
            <w:shd w:val="clear" w:color="000000" w:fill="FFFFFF"/>
            <w:vAlign w:val="bottom"/>
            <w:hideMark/>
          </w:tcPr>
          <w:p w14:paraId="428C0C4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R0220</w:t>
            </w:r>
          </w:p>
        </w:tc>
        <w:tc>
          <w:tcPr>
            <w:tcW w:w="1701" w:type="dxa"/>
            <w:tcBorders>
              <w:top w:val="nil"/>
              <w:left w:val="nil"/>
              <w:bottom w:val="single" w:sz="4" w:space="0" w:color="auto"/>
              <w:right w:val="single" w:sz="4" w:space="0" w:color="auto"/>
            </w:tcBorders>
            <w:shd w:val="clear" w:color="000000" w:fill="FFFFFF"/>
            <w:noWrap/>
            <w:vAlign w:val="bottom"/>
            <w:hideMark/>
          </w:tcPr>
          <w:p w14:paraId="11C0F23E"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5DE02C9A"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714179B" w14:textId="742E35A3"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Úvěry a hypotéky</w:t>
            </w:r>
          </w:p>
        </w:tc>
        <w:tc>
          <w:tcPr>
            <w:tcW w:w="567" w:type="dxa"/>
            <w:tcBorders>
              <w:top w:val="nil"/>
              <w:left w:val="nil"/>
              <w:bottom w:val="single" w:sz="4" w:space="0" w:color="auto"/>
              <w:right w:val="single" w:sz="4" w:space="0" w:color="auto"/>
            </w:tcBorders>
            <w:shd w:val="clear" w:color="000000" w:fill="FFFFFF"/>
            <w:vAlign w:val="bottom"/>
            <w:hideMark/>
          </w:tcPr>
          <w:p w14:paraId="48DA5320"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R0230</w:t>
            </w:r>
          </w:p>
        </w:tc>
        <w:tc>
          <w:tcPr>
            <w:tcW w:w="1701" w:type="dxa"/>
            <w:tcBorders>
              <w:top w:val="nil"/>
              <w:left w:val="nil"/>
              <w:bottom w:val="single" w:sz="4" w:space="0" w:color="auto"/>
              <w:right w:val="single" w:sz="4" w:space="0" w:color="auto"/>
            </w:tcBorders>
            <w:shd w:val="clear" w:color="000000" w:fill="FFFFFF"/>
            <w:noWrap/>
            <w:vAlign w:val="bottom"/>
            <w:hideMark/>
          </w:tcPr>
          <w:p w14:paraId="7AB3C6D7"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7D36192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C1BEB94" w14:textId="2AFF4CDE" w:rsidR="001E7F31" w:rsidRPr="001E7F31" w:rsidRDefault="00F779BD"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Půjčky pojistníkům</w:t>
            </w:r>
          </w:p>
        </w:tc>
        <w:tc>
          <w:tcPr>
            <w:tcW w:w="567" w:type="dxa"/>
            <w:tcBorders>
              <w:top w:val="nil"/>
              <w:left w:val="nil"/>
              <w:bottom w:val="single" w:sz="4" w:space="0" w:color="auto"/>
              <w:right w:val="single" w:sz="4" w:space="0" w:color="auto"/>
            </w:tcBorders>
            <w:shd w:val="clear" w:color="000000" w:fill="FFFFFF"/>
            <w:vAlign w:val="bottom"/>
            <w:hideMark/>
          </w:tcPr>
          <w:p w14:paraId="5629929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R0240</w:t>
            </w:r>
          </w:p>
        </w:tc>
        <w:tc>
          <w:tcPr>
            <w:tcW w:w="1701" w:type="dxa"/>
            <w:tcBorders>
              <w:top w:val="nil"/>
              <w:left w:val="nil"/>
              <w:bottom w:val="single" w:sz="4" w:space="0" w:color="auto"/>
              <w:right w:val="single" w:sz="4" w:space="0" w:color="auto"/>
            </w:tcBorders>
            <w:shd w:val="clear" w:color="000000" w:fill="FFFFFF"/>
            <w:noWrap/>
            <w:vAlign w:val="bottom"/>
            <w:hideMark/>
          </w:tcPr>
          <w:p w14:paraId="13E96E38"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36A87C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1F6F0F6F" w14:textId="0C1C9A31"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Úvěry a hypotéky poskytnuté fyzickým osobám</w:t>
            </w:r>
          </w:p>
        </w:tc>
        <w:tc>
          <w:tcPr>
            <w:tcW w:w="567" w:type="dxa"/>
            <w:tcBorders>
              <w:top w:val="nil"/>
              <w:left w:val="nil"/>
              <w:bottom w:val="single" w:sz="4" w:space="0" w:color="auto"/>
              <w:right w:val="single" w:sz="4" w:space="0" w:color="auto"/>
            </w:tcBorders>
            <w:shd w:val="clear" w:color="000000" w:fill="FFFFFF"/>
            <w:vAlign w:val="bottom"/>
            <w:hideMark/>
          </w:tcPr>
          <w:p w14:paraId="02AFE653"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R0250</w:t>
            </w:r>
          </w:p>
        </w:tc>
        <w:tc>
          <w:tcPr>
            <w:tcW w:w="1701" w:type="dxa"/>
            <w:tcBorders>
              <w:top w:val="nil"/>
              <w:left w:val="nil"/>
              <w:bottom w:val="single" w:sz="4" w:space="0" w:color="auto"/>
              <w:right w:val="single" w:sz="4" w:space="0" w:color="auto"/>
            </w:tcBorders>
            <w:shd w:val="clear" w:color="000000" w:fill="FFFFFF"/>
            <w:noWrap/>
            <w:vAlign w:val="bottom"/>
            <w:hideMark/>
          </w:tcPr>
          <w:p w14:paraId="3123BF31"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53191F72"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68E6D67F" w14:textId="72CEEB73"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Jiné úvěry a hypotéky</w:t>
            </w:r>
          </w:p>
        </w:tc>
        <w:tc>
          <w:tcPr>
            <w:tcW w:w="567" w:type="dxa"/>
            <w:tcBorders>
              <w:top w:val="nil"/>
              <w:left w:val="nil"/>
              <w:bottom w:val="single" w:sz="4" w:space="0" w:color="auto"/>
              <w:right w:val="single" w:sz="4" w:space="0" w:color="auto"/>
            </w:tcBorders>
            <w:shd w:val="clear" w:color="000000" w:fill="FFFFFF"/>
            <w:vAlign w:val="bottom"/>
            <w:hideMark/>
          </w:tcPr>
          <w:p w14:paraId="7ABFA8B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R0260</w:t>
            </w:r>
          </w:p>
        </w:tc>
        <w:tc>
          <w:tcPr>
            <w:tcW w:w="1701" w:type="dxa"/>
            <w:tcBorders>
              <w:top w:val="nil"/>
              <w:left w:val="nil"/>
              <w:bottom w:val="single" w:sz="4" w:space="0" w:color="auto"/>
              <w:right w:val="single" w:sz="4" w:space="0" w:color="auto"/>
            </w:tcBorders>
            <w:shd w:val="clear" w:color="000000" w:fill="FFFFFF"/>
            <w:noWrap/>
            <w:vAlign w:val="bottom"/>
            <w:hideMark/>
          </w:tcPr>
          <w:p w14:paraId="25B95C5D"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76837119"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5D83315" w14:textId="173E72CA"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Částky vymahatelné ze zajištění</w:t>
            </w:r>
            <w:r w:rsidR="003C6CA6">
              <w:rPr>
                <w:rFonts w:ascii="Calibri" w:hAnsi="Calibri" w:cs="Calibri"/>
                <w:color w:val="000000"/>
                <w:sz w:val="16"/>
                <w:szCs w:val="16"/>
              </w:rPr>
              <w:t xml:space="preserve"> celkem</w:t>
            </w:r>
          </w:p>
        </w:tc>
        <w:tc>
          <w:tcPr>
            <w:tcW w:w="567" w:type="dxa"/>
            <w:tcBorders>
              <w:top w:val="nil"/>
              <w:left w:val="nil"/>
              <w:bottom w:val="single" w:sz="4" w:space="0" w:color="auto"/>
              <w:right w:val="single" w:sz="4" w:space="0" w:color="auto"/>
            </w:tcBorders>
            <w:shd w:val="clear" w:color="000000" w:fill="FFFFFF"/>
            <w:vAlign w:val="bottom"/>
            <w:hideMark/>
          </w:tcPr>
          <w:p w14:paraId="522C57D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R0270</w:t>
            </w:r>
          </w:p>
        </w:tc>
        <w:tc>
          <w:tcPr>
            <w:tcW w:w="1701" w:type="dxa"/>
            <w:tcBorders>
              <w:top w:val="nil"/>
              <w:left w:val="nil"/>
              <w:bottom w:val="single" w:sz="4" w:space="0" w:color="auto"/>
              <w:right w:val="single" w:sz="4" w:space="0" w:color="auto"/>
            </w:tcBorders>
            <w:shd w:val="clear" w:color="000000" w:fill="FFFFFF"/>
            <w:noWrap/>
            <w:vAlign w:val="bottom"/>
            <w:hideMark/>
          </w:tcPr>
          <w:p w14:paraId="0A338BB6"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3 552 484</w:t>
            </w:r>
          </w:p>
        </w:tc>
      </w:tr>
      <w:tr w:rsidR="001E7F31" w:rsidRPr="007508A2" w14:paraId="2BE79DAD"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2B96BDD3" w14:textId="6A8DF24D" w:rsidR="001E7F31" w:rsidRPr="001E7F31" w:rsidRDefault="00714F93"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N</w:t>
            </w:r>
            <w:r w:rsidR="001E7F31" w:rsidRPr="001E7F31">
              <w:rPr>
                <w:rFonts w:ascii="Calibri" w:hAnsi="Calibri" w:cs="Calibri"/>
                <w:color w:val="000000"/>
                <w:sz w:val="16"/>
                <w:szCs w:val="16"/>
              </w:rPr>
              <w:t xml:space="preserve">eživotní </w:t>
            </w:r>
            <w:r>
              <w:rPr>
                <w:rFonts w:ascii="Calibri" w:hAnsi="Calibri" w:cs="Calibri"/>
                <w:color w:val="000000"/>
                <w:sz w:val="16"/>
                <w:szCs w:val="16"/>
              </w:rPr>
              <w:t>po</w:t>
            </w:r>
            <w:r w:rsidR="000956D7">
              <w:rPr>
                <w:rFonts w:ascii="Calibri" w:hAnsi="Calibri" w:cs="Calibri"/>
                <w:color w:val="000000"/>
                <w:sz w:val="16"/>
                <w:szCs w:val="16"/>
              </w:rPr>
              <w:t>j</w:t>
            </w:r>
            <w:r w:rsidR="001E7F31" w:rsidRPr="001E7F31">
              <w:rPr>
                <w:rFonts w:ascii="Calibri" w:hAnsi="Calibri" w:cs="Calibri"/>
                <w:color w:val="000000"/>
                <w:sz w:val="16"/>
                <w:szCs w:val="16"/>
              </w:rPr>
              <w:t xml:space="preserve">ištění </w:t>
            </w:r>
            <w:r w:rsidR="000956D7">
              <w:rPr>
                <w:rFonts w:ascii="Calibri" w:hAnsi="Calibri" w:cs="Calibri"/>
                <w:color w:val="000000"/>
                <w:sz w:val="16"/>
                <w:szCs w:val="16"/>
              </w:rPr>
              <w:t>celkem</w:t>
            </w:r>
          </w:p>
        </w:tc>
        <w:tc>
          <w:tcPr>
            <w:tcW w:w="567" w:type="dxa"/>
            <w:tcBorders>
              <w:top w:val="nil"/>
              <w:left w:val="nil"/>
              <w:bottom w:val="single" w:sz="4" w:space="0" w:color="auto"/>
              <w:right w:val="single" w:sz="4" w:space="0" w:color="auto"/>
            </w:tcBorders>
            <w:shd w:val="clear" w:color="000000" w:fill="FFFFFF"/>
            <w:vAlign w:val="bottom"/>
            <w:hideMark/>
          </w:tcPr>
          <w:p w14:paraId="50FD174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R0280</w:t>
            </w:r>
          </w:p>
        </w:tc>
        <w:tc>
          <w:tcPr>
            <w:tcW w:w="1701" w:type="dxa"/>
            <w:tcBorders>
              <w:top w:val="nil"/>
              <w:left w:val="nil"/>
              <w:bottom w:val="single" w:sz="4" w:space="0" w:color="auto"/>
              <w:right w:val="single" w:sz="4" w:space="0" w:color="auto"/>
            </w:tcBorders>
            <w:shd w:val="clear" w:color="000000" w:fill="FFFFFF"/>
            <w:noWrap/>
            <w:vAlign w:val="bottom"/>
            <w:hideMark/>
          </w:tcPr>
          <w:p w14:paraId="1873C209"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3 552 484</w:t>
            </w:r>
          </w:p>
        </w:tc>
      </w:tr>
      <w:tr w:rsidR="001E7F31" w:rsidRPr="007508A2" w14:paraId="2B34786B"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6F98B77B" w14:textId="7C0057CF" w:rsidR="001E7F31" w:rsidRPr="001E7F31" w:rsidRDefault="000956D7"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N</w:t>
            </w:r>
            <w:r w:rsidR="001E7F31" w:rsidRPr="001E7F31">
              <w:rPr>
                <w:rFonts w:ascii="Calibri" w:hAnsi="Calibri" w:cs="Calibri"/>
                <w:color w:val="000000"/>
                <w:sz w:val="16"/>
                <w:szCs w:val="16"/>
              </w:rPr>
              <w:t xml:space="preserve">eživotní zajištění </w:t>
            </w:r>
            <w:r>
              <w:rPr>
                <w:rFonts w:ascii="Calibri" w:hAnsi="Calibri" w:cs="Calibri"/>
                <w:color w:val="000000"/>
                <w:sz w:val="16"/>
                <w:szCs w:val="16"/>
              </w:rPr>
              <w:t>bez NSLT</w:t>
            </w:r>
          </w:p>
        </w:tc>
        <w:tc>
          <w:tcPr>
            <w:tcW w:w="567" w:type="dxa"/>
            <w:tcBorders>
              <w:top w:val="nil"/>
              <w:left w:val="nil"/>
              <w:bottom w:val="single" w:sz="4" w:space="0" w:color="auto"/>
              <w:right w:val="single" w:sz="4" w:space="0" w:color="auto"/>
            </w:tcBorders>
            <w:shd w:val="clear" w:color="000000" w:fill="FFFFFF"/>
            <w:vAlign w:val="bottom"/>
            <w:hideMark/>
          </w:tcPr>
          <w:p w14:paraId="50C3EE62"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R0290</w:t>
            </w:r>
          </w:p>
        </w:tc>
        <w:tc>
          <w:tcPr>
            <w:tcW w:w="1701" w:type="dxa"/>
            <w:tcBorders>
              <w:top w:val="nil"/>
              <w:left w:val="nil"/>
              <w:bottom w:val="single" w:sz="4" w:space="0" w:color="auto"/>
              <w:right w:val="single" w:sz="4" w:space="0" w:color="auto"/>
            </w:tcBorders>
            <w:shd w:val="clear" w:color="000000" w:fill="FFFFFF"/>
            <w:noWrap/>
            <w:vAlign w:val="bottom"/>
            <w:hideMark/>
          </w:tcPr>
          <w:p w14:paraId="079CF375"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52F9B96"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16FC5B18" w14:textId="79E9E454" w:rsidR="001E7F31" w:rsidRPr="001E7F31" w:rsidRDefault="000956D7"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Z</w:t>
            </w:r>
            <w:r w:rsidR="001E7F31" w:rsidRPr="001E7F31">
              <w:rPr>
                <w:rFonts w:ascii="Calibri" w:hAnsi="Calibri" w:cs="Calibri"/>
                <w:color w:val="000000"/>
                <w:sz w:val="16"/>
                <w:szCs w:val="16"/>
              </w:rPr>
              <w:t xml:space="preserve">dravotní pojištění </w:t>
            </w:r>
            <w:r w:rsidR="00562924">
              <w:rPr>
                <w:rFonts w:ascii="Calibri" w:hAnsi="Calibri" w:cs="Calibri"/>
                <w:color w:val="000000"/>
                <w:sz w:val="16"/>
                <w:szCs w:val="16"/>
              </w:rPr>
              <w:t xml:space="preserve">NSLT </w:t>
            </w:r>
            <w:proofErr w:type="spellStart"/>
            <w:r w:rsidR="00562924">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6A3F605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R0300</w:t>
            </w:r>
          </w:p>
        </w:tc>
        <w:tc>
          <w:tcPr>
            <w:tcW w:w="1701" w:type="dxa"/>
            <w:tcBorders>
              <w:top w:val="nil"/>
              <w:left w:val="nil"/>
              <w:bottom w:val="single" w:sz="4" w:space="0" w:color="auto"/>
              <w:right w:val="single" w:sz="4" w:space="0" w:color="auto"/>
            </w:tcBorders>
            <w:shd w:val="clear" w:color="000000" w:fill="FFFFFF"/>
            <w:noWrap/>
            <w:vAlign w:val="bottom"/>
            <w:hideMark/>
          </w:tcPr>
          <w:p w14:paraId="1C60B5EA"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3 552 484</w:t>
            </w:r>
          </w:p>
        </w:tc>
      </w:tr>
      <w:tr w:rsidR="001E7F31" w:rsidRPr="007508A2" w14:paraId="6BAD5AC9"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4E70B191" w14:textId="500A8541" w:rsidR="001E7F31" w:rsidRPr="001E7F31" w:rsidRDefault="00D07A2A"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Ž</w:t>
            </w:r>
            <w:r w:rsidR="001E7F31" w:rsidRPr="001E7F31">
              <w:rPr>
                <w:rFonts w:ascii="Calibri" w:hAnsi="Calibri" w:cs="Calibri"/>
                <w:color w:val="000000"/>
                <w:sz w:val="16"/>
                <w:szCs w:val="16"/>
              </w:rPr>
              <w:t xml:space="preserve">ivotní </w:t>
            </w:r>
            <w:r>
              <w:rPr>
                <w:rFonts w:ascii="Calibri" w:hAnsi="Calibri" w:cs="Calibri"/>
                <w:color w:val="000000"/>
                <w:sz w:val="16"/>
                <w:szCs w:val="16"/>
              </w:rPr>
              <w:t>pojištění celkem</w:t>
            </w:r>
          </w:p>
        </w:tc>
        <w:tc>
          <w:tcPr>
            <w:tcW w:w="567" w:type="dxa"/>
            <w:tcBorders>
              <w:top w:val="nil"/>
              <w:left w:val="nil"/>
              <w:bottom w:val="single" w:sz="4" w:space="0" w:color="auto"/>
              <w:right w:val="single" w:sz="4" w:space="0" w:color="auto"/>
            </w:tcBorders>
            <w:shd w:val="clear" w:color="000000" w:fill="FFFFFF"/>
            <w:vAlign w:val="bottom"/>
            <w:hideMark/>
          </w:tcPr>
          <w:p w14:paraId="5458ECFA"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R0310</w:t>
            </w:r>
          </w:p>
        </w:tc>
        <w:tc>
          <w:tcPr>
            <w:tcW w:w="1701" w:type="dxa"/>
            <w:tcBorders>
              <w:top w:val="nil"/>
              <w:left w:val="nil"/>
              <w:bottom w:val="single" w:sz="4" w:space="0" w:color="auto"/>
              <w:right w:val="single" w:sz="4" w:space="0" w:color="auto"/>
            </w:tcBorders>
            <w:shd w:val="clear" w:color="000000" w:fill="FFFFFF"/>
            <w:noWrap/>
            <w:vAlign w:val="bottom"/>
            <w:hideMark/>
          </w:tcPr>
          <w:p w14:paraId="728822D6"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7D990FEE"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480B259" w14:textId="70665DD7" w:rsidR="001E7F31" w:rsidRPr="001E7F31" w:rsidRDefault="00607769"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Z</w:t>
            </w:r>
            <w:r w:rsidR="001E7F31" w:rsidRPr="001E7F31">
              <w:rPr>
                <w:rFonts w:ascii="Calibri" w:hAnsi="Calibri" w:cs="Calibri"/>
                <w:color w:val="000000"/>
                <w:sz w:val="16"/>
                <w:szCs w:val="16"/>
              </w:rPr>
              <w:t xml:space="preserve">dravotní </w:t>
            </w:r>
            <w:r>
              <w:rPr>
                <w:rFonts w:ascii="Calibri" w:hAnsi="Calibri" w:cs="Calibri"/>
                <w:color w:val="000000"/>
                <w:sz w:val="16"/>
                <w:szCs w:val="16"/>
              </w:rPr>
              <w:t xml:space="preserve">pojištění </w:t>
            </w:r>
            <w:r w:rsidR="00254684">
              <w:rPr>
                <w:rFonts w:ascii="Calibri" w:hAnsi="Calibri" w:cs="Calibri"/>
                <w:color w:val="000000"/>
                <w:sz w:val="16"/>
                <w:szCs w:val="16"/>
              </w:rPr>
              <w:t xml:space="preserve">SLT </w:t>
            </w:r>
            <w:proofErr w:type="spellStart"/>
            <w:r w:rsidR="00254684">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0846FEB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R0320</w:t>
            </w:r>
          </w:p>
        </w:tc>
        <w:tc>
          <w:tcPr>
            <w:tcW w:w="1701" w:type="dxa"/>
            <w:tcBorders>
              <w:top w:val="nil"/>
              <w:left w:val="nil"/>
              <w:bottom w:val="single" w:sz="4" w:space="0" w:color="auto"/>
              <w:right w:val="single" w:sz="4" w:space="0" w:color="auto"/>
            </w:tcBorders>
            <w:shd w:val="clear" w:color="000000" w:fill="FFFFFF"/>
            <w:noWrap/>
            <w:vAlign w:val="bottom"/>
            <w:hideMark/>
          </w:tcPr>
          <w:p w14:paraId="26A75C9F"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B1BEE96"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74052B4C" w14:textId="0DA1003C" w:rsidR="001E7F31" w:rsidRPr="001E7F31" w:rsidRDefault="00860EA3"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Ž</w:t>
            </w:r>
            <w:r w:rsidR="001E7F31" w:rsidRPr="001E7F31">
              <w:rPr>
                <w:rFonts w:ascii="Calibri" w:hAnsi="Calibri" w:cs="Calibri"/>
                <w:color w:val="000000"/>
                <w:sz w:val="16"/>
                <w:szCs w:val="16"/>
              </w:rPr>
              <w:t xml:space="preserve">ivotní </w:t>
            </w:r>
            <w:r>
              <w:rPr>
                <w:rFonts w:ascii="Calibri" w:hAnsi="Calibri" w:cs="Calibri"/>
                <w:color w:val="000000"/>
                <w:sz w:val="16"/>
                <w:szCs w:val="16"/>
              </w:rPr>
              <w:t>po</w:t>
            </w:r>
            <w:r w:rsidR="001E7F31" w:rsidRPr="001E7F31">
              <w:rPr>
                <w:rFonts w:ascii="Calibri" w:hAnsi="Calibri" w:cs="Calibri"/>
                <w:color w:val="000000"/>
                <w:sz w:val="16"/>
                <w:szCs w:val="16"/>
              </w:rPr>
              <w:t xml:space="preserve">jištění </w:t>
            </w:r>
            <w:r w:rsidR="00C85A72">
              <w:rPr>
                <w:rFonts w:ascii="Calibri" w:hAnsi="Calibri" w:cs="Calibri"/>
                <w:color w:val="000000"/>
                <w:sz w:val="16"/>
                <w:szCs w:val="16"/>
              </w:rPr>
              <w:t xml:space="preserve">bez SLT </w:t>
            </w:r>
            <w:proofErr w:type="spellStart"/>
            <w:r w:rsidR="00C85A72">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055AFCF9"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R0330</w:t>
            </w:r>
          </w:p>
        </w:tc>
        <w:tc>
          <w:tcPr>
            <w:tcW w:w="1701" w:type="dxa"/>
            <w:tcBorders>
              <w:top w:val="nil"/>
              <w:left w:val="nil"/>
              <w:bottom w:val="single" w:sz="4" w:space="0" w:color="auto"/>
              <w:right w:val="single" w:sz="4" w:space="0" w:color="auto"/>
            </w:tcBorders>
            <w:shd w:val="clear" w:color="000000" w:fill="FFFFFF"/>
            <w:noWrap/>
            <w:vAlign w:val="bottom"/>
            <w:hideMark/>
          </w:tcPr>
          <w:p w14:paraId="0EA78166"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2223056B"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99CC3BE" w14:textId="2959C475" w:rsidR="001E7F31" w:rsidRPr="001E7F31" w:rsidRDefault="00C85A72"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Ž</w:t>
            </w:r>
            <w:r w:rsidR="001E7F31" w:rsidRPr="001E7F31">
              <w:rPr>
                <w:rFonts w:ascii="Calibri" w:hAnsi="Calibri" w:cs="Calibri"/>
                <w:color w:val="000000"/>
                <w:sz w:val="16"/>
                <w:szCs w:val="16"/>
              </w:rPr>
              <w:t xml:space="preserve">ivotní </w:t>
            </w:r>
            <w:r>
              <w:rPr>
                <w:rFonts w:ascii="Calibri" w:hAnsi="Calibri" w:cs="Calibri"/>
                <w:color w:val="000000"/>
                <w:sz w:val="16"/>
                <w:szCs w:val="16"/>
              </w:rPr>
              <w:t>po</w:t>
            </w:r>
            <w:r w:rsidR="001E7F31" w:rsidRPr="001E7F31">
              <w:rPr>
                <w:rFonts w:ascii="Calibri" w:hAnsi="Calibri" w:cs="Calibri"/>
                <w:color w:val="000000"/>
                <w:sz w:val="16"/>
                <w:szCs w:val="16"/>
              </w:rPr>
              <w:t xml:space="preserve">jištění s plněním vázaným na index </w:t>
            </w:r>
            <w:r w:rsidR="004B14DC">
              <w:rPr>
                <w:rFonts w:ascii="Calibri" w:hAnsi="Calibri" w:cs="Calibri"/>
                <w:color w:val="000000"/>
                <w:sz w:val="16"/>
                <w:szCs w:val="16"/>
              </w:rPr>
              <w:t>nebo</w:t>
            </w:r>
            <w:r w:rsidR="001E7F31" w:rsidRPr="001E7F31">
              <w:rPr>
                <w:rFonts w:ascii="Calibri" w:hAnsi="Calibri" w:cs="Calibri"/>
                <w:color w:val="000000"/>
                <w:sz w:val="16"/>
                <w:szCs w:val="16"/>
              </w:rPr>
              <w:t xml:space="preserve"> hodnotu investičního fondu</w:t>
            </w:r>
          </w:p>
        </w:tc>
        <w:tc>
          <w:tcPr>
            <w:tcW w:w="567" w:type="dxa"/>
            <w:tcBorders>
              <w:top w:val="nil"/>
              <w:left w:val="nil"/>
              <w:bottom w:val="single" w:sz="4" w:space="0" w:color="auto"/>
              <w:right w:val="single" w:sz="4" w:space="0" w:color="auto"/>
            </w:tcBorders>
            <w:shd w:val="clear" w:color="000000" w:fill="FFFFFF"/>
            <w:vAlign w:val="bottom"/>
            <w:hideMark/>
          </w:tcPr>
          <w:p w14:paraId="5E0DFBE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R0340</w:t>
            </w:r>
          </w:p>
        </w:tc>
        <w:tc>
          <w:tcPr>
            <w:tcW w:w="1701" w:type="dxa"/>
            <w:tcBorders>
              <w:top w:val="nil"/>
              <w:left w:val="nil"/>
              <w:bottom w:val="single" w:sz="4" w:space="0" w:color="auto"/>
              <w:right w:val="single" w:sz="4" w:space="0" w:color="auto"/>
            </w:tcBorders>
            <w:shd w:val="clear" w:color="000000" w:fill="FFFFFF"/>
            <w:noWrap/>
            <w:vAlign w:val="bottom"/>
            <w:hideMark/>
          </w:tcPr>
          <w:p w14:paraId="5986C43C"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00599026"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493A89F" w14:textId="090FDB13"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Depozita při aktivním zajištění</w:t>
            </w:r>
          </w:p>
        </w:tc>
        <w:tc>
          <w:tcPr>
            <w:tcW w:w="567" w:type="dxa"/>
            <w:tcBorders>
              <w:top w:val="nil"/>
              <w:left w:val="nil"/>
              <w:bottom w:val="single" w:sz="4" w:space="0" w:color="auto"/>
              <w:right w:val="single" w:sz="4" w:space="0" w:color="auto"/>
            </w:tcBorders>
            <w:shd w:val="clear" w:color="000000" w:fill="FFFFFF"/>
            <w:vAlign w:val="bottom"/>
            <w:hideMark/>
          </w:tcPr>
          <w:p w14:paraId="1FB8B1E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R0350</w:t>
            </w:r>
          </w:p>
        </w:tc>
        <w:tc>
          <w:tcPr>
            <w:tcW w:w="1701" w:type="dxa"/>
            <w:tcBorders>
              <w:top w:val="nil"/>
              <w:left w:val="nil"/>
              <w:bottom w:val="single" w:sz="4" w:space="0" w:color="auto"/>
              <w:right w:val="single" w:sz="4" w:space="0" w:color="auto"/>
            </w:tcBorders>
            <w:shd w:val="clear" w:color="000000" w:fill="FFFFFF"/>
            <w:noWrap/>
            <w:vAlign w:val="bottom"/>
            <w:hideMark/>
          </w:tcPr>
          <w:p w14:paraId="0B8ECCF5"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5C9AA7E7"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6FBBDAD" w14:textId="424BE402"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 xml:space="preserve">Pohledávky z pojištění a </w:t>
            </w:r>
            <w:r w:rsidR="00CD6E0B">
              <w:rPr>
                <w:rFonts w:ascii="Calibri" w:hAnsi="Calibri" w:cs="Calibri"/>
                <w:color w:val="000000"/>
                <w:sz w:val="16"/>
                <w:szCs w:val="16"/>
              </w:rPr>
              <w:t>za</w:t>
            </w:r>
            <w:r w:rsidRPr="001E7F31">
              <w:rPr>
                <w:rFonts w:ascii="Calibri" w:hAnsi="Calibri" w:cs="Calibri"/>
                <w:color w:val="000000"/>
                <w:sz w:val="16"/>
                <w:szCs w:val="16"/>
              </w:rPr>
              <w:t xml:space="preserve"> zprostředkovatel</w:t>
            </w:r>
            <w:r w:rsidR="00CD6E0B">
              <w:rPr>
                <w:rFonts w:ascii="Calibri" w:hAnsi="Calibri" w:cs="Calibri"/>
                <w:color w:val="000000"/>
                <w:sz w:val="16"/>
                <w:szCs w:val="16"/>
              </w:rPr>
              <w:t>i</w:t>
            </w:r>
          </w:p>
        </w:tc>
        <w:tc>
          <w:tcPr>
            <w:tcW w:w="567" w:type="dxa"/>
            <w:tcBorders>
              <w:top w:val="nil"/>
              <w:left w:val="nil"/>
              <w:bottom w:val="single" w:sz="4" w:space="0" w:color="auto"/>
              <w:right w:val="single" w:sz="4" w:space="0" w:color="auto"/>
            </w:tcBorders>
            <w:shd w:val="clear" w:color="000000" w:fill="FFFFFF"/>
            <w:vAlign w:val="bottom"/>
            <w:hideMark/>
          </w:tcPr>
          <w:p w14:paraId="02A84E59"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R0360</w:t>
            </w:r>
          </w:p>
        </w:tc>
        <w:tc>
          <w:tcPr>
            <w:tcW w:w="1701" w:type="dxa"/>
            <w:tcBorders>
              <w:top w:val="nil"/>
              <w:left w:val="nil"/>
              <w:bottom w:val="single" w:sz="4" w:space="0" w:color="auto"/>
              <w:right w:val="single" w:sz="4" w:space="0" w:color="auto"/>
            </w:tcBorders>
            <w:shd w:val="clear" w:color="000000" w:fill="FFFFFF"/>
            <w:noWrap/>
            <w:vAlign w:val="bottom"/>
            <w:hideMark/>
          </w:tcPr>
          <w:p w14:paraId="0DD26C8A"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214 077</w:t>
            </w:r>
          </w:p>
        </w:tc>
      </w:tr>
      <w:tr w:rsidR="001E7F31" w:rsidRPr="007508A2" w14:paraId="7FB49011"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4283492" w14:textId="20CE379D"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Pohledávky ze zajištění</w:t>
            </w:r>
          </w:p>
        </w:tc>
        <w:tc>
          <w:tcPr>
            <w:tcW w:w="567" w:type="dxa"/>
            <w:tcBorders>
              <w:top w:val="nil"/>
              <w:left w:val="nil"/>
              <w:bottom w:val="single" w:sz="4" w:space="0" w:color="auto"/>
              <w:right w:val="single" w:sz="4" w:space="0" w:color="auto"/>
            </w:tcBorders>
            <w:shd w:val="clear" w:color="000000" w:fill="FFFFFF"/>
            <w:vAlign w:val="bottom"/>
            <w:hideMark/>
          </w:tcPr>
          <w:p w14:paraId="0575A76C"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R0370</w:t>
            </w:r>
          </w:p>
        </w:tc>
        <w:tc>
          <w:tcPr>
            <w:tcW w:w="1701" w:type="dxa"/>
            <w:tcBorders>
              <w:top w:val="nil"/>
              <w:left w:val="nil"/>
              <w:bottom w:val="single" w:sz="4" w:space="0" w:color="auto"/>
              <w:right w:val="single" w:sz="4" w:space="0" w:color="auto"/>
            </w:tcBorders>
            <w:shd w:val="clear" w:color="000000" w:fill="FFFFFF"/>
            <w:noWrap/>
            <w:vAlign w:val="bottom"/>
            <w:hideMark/>
          </w:tcPr>
          <w:p w14:paraId="0DA4A0AC"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500 000</w:t>
            </w:r>
          </w:p>
        </w:tc>
      </w:tr>
      <w:tr w:rsidR="001E7F31" w:rsidRPr="007508A2" w14:paraId="4815C19C"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4D07D51C" w14:textId="6D55FC62"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Pohledávky z obchodního styku</w:t>
            </w:r>
          </w:p>
        </w:tc>
        <w:tc>
          <w:tcPr>
            <w:tcW w:w="567" w:type="dxa"/>
            <w:tcBorders>
              <w:top w:val="nil"/>
              <w:left w:val="nil"/>
              <w:bottom w:val="single" w:sz="4" w:space="0" w:color="auto"/>
              <w:right w:val="single" w:sz="4" w:space="0" w:color="auto"/>
            </w:tcBorders>
            <w:shd w:val="clear" w:color="000000" w:fill="FFFFFF"/>
            <w:vAlign w:val="bottom"/>
            <w:hideMark/>
          </w:tcPr>
          <w:p w14:paraId="4087739B"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R0380</w:t>
            </w:r>
          </w:p>
        </w:tc>
        <w:tc>
          <w:tcPr>
            <w:tcW w:w="1701" w:type="dxa"/>
            <w:tcBorders>
              <w:top w:val="nil"/>
              <w:left w:val="nil"/>
              <w:bottom w:val="single" w:sz="4" w:space="0" w:color="auto"/>
              <w:right w:val="single" w:sz="4" w:space="0" w:color="auto"/>
            </w:tcBorders>
            <w:shd w:val="clear" w:color="000000" w:fill="FFFFFF"/>
            <w:noWrap/>
            <w:vAlign w:val="bottom"/>
            <w:hideMark/>
          </w:tcPr>
          <w:p w14:paraId="276AD262"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620 290</w:t>
            </w:r>
          </w:p>
        </w:tc>
      </w:tr>
      <w:tr w:rsidR="001E7F31" w:rsidRPr="007508A2" w14:paraId="57502B48"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5B14682" w14:textId="29B199B0" w:rsidR="001E7F31" w:rsidRPr="001E7F31" w:rsidRDefault="001E7F31" w:rsidP="001E7F31">
            <w:pPr>
              <w:spacing w:after="0" w:line="240" w:lineRule="auto"/>
              <w:jc w:val="both"/>
              <w:rPr>
                <w:rFonts w:eastAsia="Times New Roman" w:cstheme="minorHAnsi"/>
                <w:color w:val="000000"/>
                <w:sz w:val="16"/>
                <w:szCs w:val="16"/>
                <w:lang w:eastAsia="cs-CZ"/>
              </w:rPr>
            </w:pPr>
            <w:r w:rsidRPr="001E7F31">
              <w:rPr>
                <w:rFonts w:ascii="Calibri" w:hAnsi="Calibri" w:cs="Calibri"/>
                <w:color w:val="000000"/>
                <w:sz w:val="16"/>
                <w:szCs w:val="16"/>
              </w:rPr>
              <w:t xml:space="preserve">Vlastní akcie </w:t>
            </w:r>
          </w:p>
        </w:tc>
        <w:tc>
          <w:tcPr>
            <w:tcW w:w="567" w:type="dxa"/>
            <w:tcBorders>
              <w:top w:val="nil"/>
              <w:left w:val="nil"/>
              <w:bottom w:val="single" w:sz="4" w:space="0" w:color="auto"/>
              <w:right w:val="single" w:sz="4" w:space="0" w:color="auto"/>
            </w:tcBorders>
            <w:shd w:val="clear" w:color="000000" w:fill="FFFFFF"/>
            <w:vAlign w:val="bottom"/>
            <w:hideMark/>
          </w:tcPr>
          <w:p w14:paraId="7CEA8B9E"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R0390</w:t>
            </w:r>
          </w:p>
        </w:tc>
        <w:tc>
          <w:tcPr>
            <w:tcW w:w="1701" w:type="dxa"/>
            <w:tcBorders>
              <w:top w:val="nil"/>
              <w:left w:val="nil"/>
              <w:bottom w:val="single" w:sz="4" w:space="0" w:color="auto"/>
              <w:right w:val="single" w:sz="4" w:space="0" w:color="auto"/>
            </w:tcBorders>
            <w:shd w:val="clear" w:color="000000" w:fill="FFFFFF"/>
            <w:noWrap/>
            <w:vAlign w:val="bottom"/>
            <w:hideMark/>
          </w:tcPr>
          <w:p w14:paraId="4CFB148C"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6592158"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39993CA1" w14:textId="31151F7F" w:rsidR="001E7F31" w:rsidRPr="001E7F31" w:rsidRDefault="00A10878" w:rsidP="001E7F31">
            <w:pPr>
              <w:spacing w:after="0" w:line="240" w:lineRule="auto"/>
              <w:jc w:val="both"/>
              <w:rPr>
                <w:rFonts w:eastAsia="Times New Roman" w:cstheme="minorHAnsi"/>
                <w:color w:val="000000"/>
                <w:sz w:val="16"/>
                <w:szCs w:val="16"/>
                <w:lang w:eastAsia="cs-CZ"/>
              </w:rPr>
            </w:pPr>
            <w:r w:rsidRPr="00A10878">
              <w:rPr>
                <w:rFonts w:ascii="Calibri" w:hAnsi="Calibri" w:cs="Calibri"/>
                <w:color w:val="000000"/>
                <w:sz w:val="16"/>
                <w:szCs w:val="16"/>
              </w:rPr>
              <w:t>Neuhrazené splátky vlastního kapitálu</w:t>
            </w:r>
          </w:p>
        </w:tc>
        <w:tc>
          <w:tcPr>
            <w:tcW w:w="567" w:type="dxa"/>
            <w:tcBorders>
              <w:top w:val="nil"/>
              <w:left w:val="nil"/>
              <w:bottom w:val="single" w:sz="4" w:space="0" w:color="auto"/>
              <w:right w:val="single" w:sz="4" w:space="0" w:color="auto"/>
            </w:tcBorders>
            <w:shd w:val="clear" w:color="000000" w:fill="FFFFFF"/>
            <w:vAlign w:val="bottom"/>
            <w:hideMark/>
          </w:tcPr>
          <w:p w14:paraId="46B7AD4D"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R0400</w:t>
            </w:r>
          </w:p>
        </w:tc>
        <w:tc>
          <w:tcPr>
            <w:tcW w:w="1701" w:type="dxa"/>
            <w:tcBorders>
              <w:top w:val="nil"/>
              <w:left w:val="nil"/>
              <w:bottom w:val="single" w:sz="4" w:space="0" w:color="auto"/>
              <w:right w:val="single" w:sz="4" w:space="0" w:color="auto"/>
            </w:tcBorders>
            <w:shd w:val="clear" w:color="000000" w:fill="FFFFFF"/>
            <w:noWrap/>
            <w:vAlign w:val="bottom"/>
            <w:hideMark/>
          </w:tcPr>
          <w:p w14:paraId="0F804163"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1E7F31" w:rsidRPr="007508A2" w14:paraId="497AF2DC"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64611784" w14:textId="57AAFCB7" w:rsidR="001E7F31" w:rsidRPr="001E7F31" w:rsidRDefault="008C669A"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 xml:space="preserve">Peníze a </w:t>
            </w:r>
            <w:r w:rsidR="001E7F31" w:rsidRPr="001E7F31">
              <w:rPr>
                <w:rFonts w:ascii="Calibri" w:hAnsi="Calibri" w:cs="Calibri"/>
                <w:color w:val="000000"/>
                <w:sz w:val="16"/>
                <w:szCs w:val="16"/>
              </w:rPr>
              <w:t>ekvivalenty</w:t>
            </w:r>
            <w:r>
              <w:rPr>
                <w:rFonts w:ascii="Calibri" w:hAnsi="Calibri" w:cs="Calibri"/>
                <w:color w:val="000000"/>
                <w:sz w:val="16"/>
                <w:szCs w:val="16"/>
              </w:rPr>
              <w:t xml:space="preserve"> hotovosti</w:t>
            </w:r>
          </w:p>
        </w:tc>
        <w:tc>
          <w:tcPr>
            <w:tcW w:w="567" w:type="dxa"/>
            <w:tcBorders>
              <w:top w:val="nil"/>
              <w:left w:val="nil"/>
              <w:bottom w:val="single" w:sz="4" w:space="0" w:color="auto"/>
              <w:right w:val="single" w:sz="4" w:space="0" w:color="auto"/>
            </w:tcBorders>
            <w:shd w:val="clear" w:color="000000" w:fill="FFFFFF"/>
            <w:vAlign w:val="bottom"/>
            <w:hideMark/>
          </w:tcPr>
          <w:p w14:paraId="7BD00807"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R0410</w:t>
            </w:r>
          </w:p>
        </w:tc>
        <w:tc>
          <w:tcPr>
            <w:tcW w:w="1701" w:type="dxa"/>
            <w:tcBorders>
              <w:top w:val="nil"/>
              <w:left w:val="nil"/>
              <w:bottom w:val="single" w:sz="4" w:space="0" w:color="auto"/>
              <w:right w:val="single" w:sz="4" w:space="0" w:color="auto"/>
            </w:tcBorders>
            <w:shd w:val="clear" w:color="000000" w:fill="FFFFFF"/>
            <w:noWrap/>
            <w:vAlign w:val="bottom"/>
            <w:hideMark/>
          </w:tcPr>
          <w:p w14:paraId="76D0F604"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21 772 241</w:t>
            </w:r>
          </w:p>
        </w:tc>
      </w:tr>
      <w:tr w:rsidR="001E7F31" w:rsidRPr="007508A2" w14:paraId="7B738F70" w14:textId="77777777" w:rsidTr="0033050A">
        <w:tc>
          <w:tcPr>
            <w:tcW w:w="7508" w:type="dxa"/>
            <w:tcBorders>
              <w:top w:val="nil"/>
              <w:left w:val="single" w:sz="4" w:space="0" w:color="auto"/>
              <w:bottom w:val="single" w:sz="4" w:space="0" w:color="auto"/>
              <w:right w:val="single" w:sz="4" w:space="0" w:color="auto"/>
            </w:tcBorders>
            <w:shd w:val="clear" w:color="000000" w:fill="FFFFFF"/>
            <w:vAlign w:val="bottom"/>
            <w:hideMark/>
          </w:tcPr>
          <w:p w14:paraId="0CC3C20F" w14:textId="370EDC0F" w:rsidR="001E7F31" w:rsidRPr="001E7F31" w:rsidRDefault="008C669A" w:rsidP="001E7F31">
            <w:pPr>
              <w:spacing w:after="0" w:line="240" w:lineRule="auto"/>
              <w:jc w:val="both"/>
              <w:rPr>
                <w:rFonts w:eastAsia="Times New Roman" w:cstheme="minorHAnsi"/>
                <w:color w:val="000000"/>
                <w:sz w:val="16"/>
                <w:szCs w:val="16"/>
                <w:lang w:eastAsia="cs-CZ"/>
              </w:rPr>
            </w:pPr>
            <w:r>
              <w:rPr>
                <w:rFonts w:ascii="Calibri" w:hAnsi="Calibri" w:cs="Calibri"/>
                <w:color w:val="000000"/>
                <w:sz w:val="16"/>
                <w:szCs w:val="16"/>
              </w:rPr>
              <w:t>Osta</w:t>
            </w:r>
            <w:r w:rsidR="00C319C0">
              <w:rPr>
                <w:rFonts w:ascii="Calibri" w:hAnsi="Calibri" w:cs="Calibri"/>
                <w:color w:val="000000"/>
                <w:sz w:val="16"/>
                <w:szCs w:val="16"/>
              </w:rPr>
              <w:t>tní</w:t>
            </w:r>
            <w:r w:rsidR="001E7F31" w:rsidRPr="001E7F31">
              <w:rPr>
                <w:rFonts w:ascii="Calibri" w:hAnsi="Calibri" w:cs="Calibri"/>
                <w:color w:val="000000"/>
                <w:sz w:val="16"/>
                <w:szCs w:val="16"/>
              </w:rPr>
              <w:t xml:space="preserve"> aktiva</w:t>
            </w:r>
          </w:p>
        </w:tc>
        <w:tc>
          <w:tcPr>
            <w:tcW w:w="567" w:type="dxa"/>
            <w:tcBorders>
              <w:top w:val="nil"/>
              <w:left w:val="nil"/>
              <w:bottom w:val="single" w:sz="4" w:space="0" w:color="auto"/>
              <w:right w:val="single" w:sz="4" w:space="0" w:color="auto"/>
            </w:tcBorders>
            <w:shd w:val="clear" w:color="000000" w:fill="FFFFFF"/>
            <w:vAlign w:val="bottom"/>
            <w:hideMark/>
          </w:tcPr>
          <w:p w14:paraId="4CF86EA6" w14:textId="77777777" w:rsidR="001E7F31" w:rsidRPr="007508A2" w:rsidRDefault="001E7F31" w:rsidP="001E7F31">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R0420</w:t>
            </w:r>
          </w:p>
        </w:tc>
        <w:tc>
          <w:tcPr>
            <w:tcW w:w="1701" w:type="dxa"/>
            <w:tcBorders>
              <w:top w:val="nil"/>
              <w:left w:val="nil"/>
              <w:bottom w:val="single" w:sz="4" w:space="0" w:color="auto"/>
              <w:right w:val="single" w:sz="4" w:space="0" w:color="auto"/>
            </w:tcBorders>
            <w:shd w:val="clear" w:color="000000" w:fill="FFFFFF"/>
            <w:noWrap/>
            <w:vAlign w:val="bottom"/>
            <w:hideMark/>
          </w:tcPr>
          <w:p w14:paraId="71B9AECB" w14:textId="77777777" w:rsidR="001E7F31" w:rsidRPr="007508A2" w:rsidRDefault="001E7F31" w:rsidP="001E7F31">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1 044 080</w:t>
            </w:r>
          </w:p>
        </w:tc>
      </w:tr>
      <w:tr w:rsidR="007508A2" w:rsidRPr="007508A2" w14:paraId="78DAE8D5" w14:textId="77777777" w:rsidTr="00BE0B0B">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B52B8E5" w14:textId="77777777" w:rsidR="007508A2" w:rsidRPr="007508A2" w:rsidRDefault="007508A2" w:rsidP="007508A2">
            <w:pPr>
              <w:spacing w:after="0" w:line="240" w:lineRule="auto"/>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Aktiva celkem</w:t>
            </w:r>
          </w:p>
        </w:tc>
        <w:tc>
          <w:tcPr>
            <w:tcW w:w="567" w:type="dxa"/>
            <w:tcBorders>
              <w:top w:val="nil"/>
              <w:left w:val="nil"/>
              <w:bottom w:val="single" w:sz="4" w:space="0" w:color="auto"/>
              <w:right w:val="single" w:sz="4" w:space="0" w:color="auto"/>
            </w:tcBorders>
            <w:shd w:val="clear" w:color="000000" w:fill="FFFFFF"/>
            <w:vAlign w:val="bottom"/>
            <w:hideMark/>
          </w:tcPr>
          <w:p w14:paraId="4F8BF0BF" w14:textId="77777777" w:rsidR="007508A2" w:rsidRPr="007508A2" w:rsidRDefault="007508A2" w:rsidP="007508A2">
            <w:pPr>
              <w:spacing w:after="0" w:line="240" w:lineRule="auto"/>
              <w:jc w:val="center"/>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R0500</w:t>
            </w:r>
          </w:p>
        </w:tc>
        <w:tc>
          <w:tcPr>
            <w:tcW w:w="1701" w:type="dxa"/>
            <w:tcBorders>
              <w:top w:val="nil"/>
              <w:left w:val="nil"/>
              <w:bottom w:val="single" w:sz="4" w:space="0" w:color="auto"/>
              <w:right w:val="single" w:sz="4" w:space="0" w:color="auto"/>
            </w:tcBorders>
            <w:shd w:val="clear" w:color="000000" w:fill="FFFFFF"/>
            <w:noWrap/>
            <w:vAlign w:val="bottom"/>
            <w:hideMark/>
          </w:tcPr>
          <w:p w14:paraId="469FBB22" w14:textId="77777777" w:rsidR="007508A2" w:rsidRPr="007508A2" w:rsidRDefault="007508A2" w:rsidP="007508A2">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181 091 291</w:t>
            </w:r>
          </w:p>
        </w:tc>
      </w:tr>
    </w:tbl>
    <w:p w14:paraId="272B8C86" w14:textId="77777777" w:rsidR="00FA5B54" w:rsidRDefault="00FA5B54" w:rsidP="00FA5B54"/>
    <w:p w14:paraId="4CBABAC9" w14:textId="3960295B" w:rsidR="003B3C69" w:rsidRDefault="003B3C69">
      <w:r>
        <w:br w:type="page"/>
      </w:r>
    </w:p>
    <w:p w14:paraId="391F61F9" w14:textId="7424254B" w:rsidR="00FA5B54" w:rsidRDefault="00FA5B54" w:rsidP="00FA5B54"/>
    <w:p w14:paraId="29B79CD8" w14:textId="77777777" w:rsidR="003B3C69" w:rsidRDefault="003B3C69" w:rsidP="00FA5B54"/>
    <w:tbl>
      <w:tblPr>
        <w:tblW w:w="9776" w:type="dxa"/>
        <w:tblCellMar>
          <w:left w:w="70" w:type="dxa"/>
          <w:right w:w="70" w:type="dxa"/>
        </w:tblCellMar>
        <w:tblLook w:val="04A0" w:firstRow="1" w:lastRow="0" w:firstColumn="1" w:lastColumn="0" w:noHBand="0" w:noVBand="1"/>
      </w:tblPr>
      <w:tblGrid>
        <w:gridCol w:w="7508"/>
        <w:gridCol w:w="567"/>
        <w:gridCol w:w="1701"/>
      </w:tblGrid>
      <w:tr w:rsidR="00BE0B0B" w:rsidRPr="007508A2" w14:paraId="2F8A98FF" w14:textId="77777777" w:rsidTr="00BE0B0B">
        <w:tc>
          <w:tcPr>
            <w:tcW w:w="75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972FF4" w14:textId="77777777" w:rsidR="00BE0B0B" w:rsidRPr="007508A2" w:rsidRDefault="00BE0B0B" w:rsidP="00C60C85">
            <w:pPr>
              <w:spacing w:after="0" w:line="240" w:lineRule="auto"/>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Pasiva</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14:paraId="38178CB1" w14:textId="77777777" w:rsidR="00BE0B0B" w:rsidRPr="007508A2" w:rsidRDefault="00BE0B0B" w:rsidP="00C60C85">
            <w:pPr>
              <w:spacing w:after="0" w:line="240" w:lineRule="auto"/>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7A7D2F40" w14:textId="77777777" w:rsidR="00BE0B0B" w:rsidRPr="007508A2" w:rsidRDefault="00BE0B0B" w:rsidP="00C60C85">
            <w:pPr>
              <w:spacing w:after="0" w:line="240" w:lineRule="auto"/>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21D87E93"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31C3418" w14:textId="0A693D41"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Technické rezervy v hrubé výši v neživotním pojištění celkem</w:t>
            </w:r>
          </w:p>
        </w:tc>
        <w:tc>
          <w:tcPr>
            <w:tcW w:w="567" w:type="dxa"/>
            <w:tcBorders>
              <w:top w:val="nil"/>
              <w:left w:val="nil"/>
              <w:bottom w:val="single" w:sz="4" w:space="0" w:color="auto"/>
              <w:right w:val="single" w:sz="4" w:space="0" w:color="auto"/>
            </w:tcBorders>
            <w:shd w:val="clear" w:color="000000" w:fill="FFFFFF"/>
            <w:vAlign w:val="bottom"/>
            <w:hideMark/>
          </w:tcPr>
          <w:p w14:paraId="1C07652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R0510</w:t>
            </w:r>
          </w:p>
        </w:tc>
        <w:tc>
          <w:tcPr>
            <w:tcW w:w="1701" w:type="dxa"/>
            <w:tcBorders>
              <w:top w:val="nil"/>
              <w:left w:val="nil"/>
              <w:bottom w:val="single" w:sz="4" w:space="0" w:color="auto"/>
              <w:right w:val="single" w:sz="4" w:space="0" w:color="auto"/>
            </w:tcBorders>
            <w:shd w:val="clear" w:color="000000" w:fill="FFFFFF"/>
            <w:noWrap/>
            <w:vAlign w:val="bottom"/>
            <w:hideMark/>
          </w:tcPr>
          <w:p w14:paraId="62C1048D"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8 765 271</w:t>
            </w:r>
          </w:p>
        </w:tc>
      </w:tr>
      <w:tr w:rsidR="00751E1C" w:rsidRPr="007508A2" w14:paraId="1CC49025"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97C8FB8" w14:textId="27EC5E6F"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Neživotní pojištění</w:t>
            </w:r>
          </w:p>
        </w:tc>
        <w:tc>
          <w:tcPr>
            <w:tcW w:w="567" w:type="dxa"/>
            <w:tcBorders>
              <w:top w:val="nil"/>
              <w:left w:val="nil"/>
              <w:bottom w:val="single" w:sz="4" w:space="0" w:color="auto"/>
              <w:right w:val="single" w:sz="4" w:space="0" w:color="auto"/>
            </w:tcBorders>
            <w:shd w:val="clear" w:color="000000" w:fill="FFFFFF"/>
            <w:vAlign w:val="bottom"/>
            <w:hideMark/>
          </w:tcPr>
          <w:p w14:paraId="0AA22FCF"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R0520</w:t>
            </w:r>
          </w:p>
        </w:tc>
        <w:tc>
          <w:tcPr>
            <w:tcW w:w="1701" w:type="dxa"/>
            <w:tcBorders>
              <w:top w:val="nil"/>
              <w:left w:val="nil"/>
              <w:bottom w:val="single" w:sz="4" w:space="0" w:color="auto"/>
              <w:right w:val="single" w:sz="4" w:space="0" w:color="auto"/>
            </w:tcBorders>
            <w:shd w:val="clear" w:color="000000" w:fill="FFFFFF"/>
            <w:noWrap/>
            <w:vAlign w:val="bottom"/>
            <w:hideMark/>
          </w:tcPr>
          <w:p w14:paraId="0B10C0E4"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48BEDA4"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BDAA073" w14:textId="5101EFDF"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Technické rezervy vypočtené jako celek v neživotním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4D4A40C8"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R0530</w:t>
            </w:r>
          </w:p>
        </w:tc>
        <w:tc>
          <w:tcPr>
            <w:tcW w:w="1701" w:type="dxa"/>
            <w:tcBorders>
              <w:top w:val="nil"/>
              <w:left w:val="nil"/>
              <w:bottom w:val="single" w:sz="4" w:space="0" w:color="auto"/>
              <w:right w:val="single" w:sz="4" w:space="0" w:color="auto"/>
            </w:tcBorders>
            <w:shd w:val="clear" w:color="000000" w:fill="FFFFFF"/>
            <w:noWrap/>
            <w:vAlign w:val="bottom"/>
            <w:hideMark/>
          </w:tcPr>
          <w:p w14:paraId="34A40CCD"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69CC7BB0"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72865E6" w14:textId="34227FD0"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Hrubý nejlepší odhad technických rezerv v neživotním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43DA00A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R0540</w:t>
            </w:r>
          </w:p>
        </w:tc>
        <w:tc>
          <w:tcPr>
            <w:tcW w:w="1701" w:type="dxa"/>
            <w:tcBorders>
              <w:top w:val="nil"/>
              <w:left w:val="nil"/>
              <w:bottom w:val="single" w:sz="4" w:space="0" w:color="auto"/>
              <w:right w:val="single" w:sz="4" w:space="0" w:color="auto"/>
            </w:tcBorders>
            <w:shd w:val="clear" w:color="000000" w:fill="FFFFFF"/>
            <w:noWrap/>
            <w:vAlign w:val="bottom"/>
            <w:hideMark/>
          </w:tcPr>
          <w:p w14:paraId="1D589157"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9AB108F"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4B1FAE8" w14:textId="2ABC4893"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Riziková přirážka technických rezerv v neživotním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1AF38CA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R0550</w:t>
            </w:r>
          </w:p>
        </w:tc>
        <w:tc>
          <w:tcPr>
            <w:tcW w:w="1701" w:type="dxa"/>
            <w:tcBorders>
              <w:top w:val="nil"/>
              <w:left w:val="nil"/>
              <w:bottom w:val="single" w:sz="4" w:space="0" w:color="auto"/>
              <w:right w:val="single" w:sz="4" w:space="0" w:color="auto"/>
            </w:tcBorders>
            <w:shd w:val="clear" w:color="000000" w:fill="FFFFFF"/>
            <w:noWrap/>
            <w:vAlign w:val="bottom"/>
            <w:hideMark/>
          </w:tcPr>
          <w:p w14:paraId="0C6855AA"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AAF2632"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2A70175" w14:textId="689ABE6C"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Zdravotní pojištění NSLT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6BEFD897"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R0560</w:t>
            </w:r>
          </w:p>
        </w:tc>
        <w:tc>
          <w:tcPr>
            <w:tcW w:w="1701" w:type="dxa"/>
            <w:tcBorders>
              <w:top w:val="nil"/>
              <w:left w:val="nil"/>
              <w:bottom w:val="single" w:sz="4" w:space="0" w:color="auto"/>
              <w:right w:val="single" w:sz="4" w:space="0" w:color="auto"/>
            </w:tcBorders>
            <w:shd w:val="clear" w:color="000000" w:fill="FFFFFF"/>
            <w:noWrap/>
            <w:vAlign w:val="bottom"/>
            <w:hideMark/>
          </w:tcPr>
          <w:p w14:paraId="6B55190E"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8 765 271</w:t>
            </w:r>
          </w:p>
        </w:tc>
      </w:tr>
      <w:tr w:rsidR="00751E1C" w:rsidRPr="007508A2" w14:paraId="1AB01335"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C592C98" w14:textId="673E0BFC"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Technické rezervy vypočtené jako celek ve zdravotním pojištění NSLT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3410BAA8"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R0570</w:t>
            </w:r>
          </w:p>
        </w:tc>
        <w:tc>
          <w:tcPr>
            <w:tcW w:w="1701" w:type="dxa"/>
            <w:tcBorders>
              <w:top w:val="nil"/>
              <w:left w:val="nil"/>
              <w:bottom w:val="single" w:sz="4" w:space="0" w:color="auto"/>
              <w:right w:val="single" w:sz="4" w:space="0" w:color="auto"/>
            </w:tcBorders>
            <w:shd w:val="clear" w:color="000000" w:fill="FFFFFF"/>
            <w:noWrap/>
            <w:vAlign w:val="bottom"/>
            <w:hideMark/>
          </w:tcPr>
          <w:p w14:paraId="00D58731"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66E47FAF"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FDD98C4" w14:textId="14CFFA8D"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Hrubý nejlepší odhad TR ve zdravotní pojištění NSLT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233A8B9B"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R0580</w:t>
            </w:r>
          </w:p>
        </w:tc>
        <w:tc>
          <w:tcPr>
            <w:tcW w:w="1701" w:type="dxa"/>
            <w:tcBorders>
              <w:top w:val="nil"/>
              <w:left w:val="nil"/>
              <w:bottom w:val="single" w:sz="4" w:space="0" w:color="auto"/>
              <w:right w:val="single" w:sz="4" w:space="0" w:color="auto"/>
            </w:tcBorders>
            <w:shd w:val="clear" w:color="000000" w:fill="FFFFFF"/>
            <w:noWrap/>
            <w:vAlign w:val="bottom"/>
            <w:hideMark/>
          </w:tcPr>
          <w:p w14:paraId="180A86DD"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8 584 132</w:t>
            </w:r>
          </w:p>
        </w:tc>
      </w:tr>
      <w:tr w:rsidR="00751E1C" w:rsidRPr="007508A2" w14:paraId="2B873A88"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7034DA4" w14:textId="65A168DE"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Riziková přirážka technických rezerv ve zdravotním pojištění NSLT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04C66A18"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R0590</w:t>
            </w:r>
          </w:p>
        </w:tc>
        <w:tc>
          <w:tcPr>
            <w:tcW w:w="1701" w:type="dxa"/>
            <w:tcBorders>
              <w:top w:val="nil"/>
              <w:left w:val="nil"/>
              <w:bottom w:val="single" w:sz="4" w:space="0" w:color="auto"/>
              <w:right w:val="single" w:sz="4" w:space="0" w:color="auto"/>
            </w:tcBorders>
            <w:shd w:val="clear" w:color="000000" w:fill="FFFFFF"/>
            <w:noWrap/>
            <w:vAlign w:val="bottom"/>
            <w:hideMark/>
          </w:tcPr>
          <w:p w14:paraId="4AE0C235"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181 139</w:t>
            </w:r>
          </w:p>
        </w:tc>
      </w:tr>
      <w:tr w:rsidR="00751E1C" w:rsidRPr="007508A2" w14:paraId="5EF9C043"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DDD2D9F" w14:textId="65942481"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Technické rezervy v hrubé výši v životním pojištění celkem</w:t>
            </w:r>
          </w:p>
        </w:tc>
        <w:tc>
          <w:tcPr>
            <w:tcW w:w="567" w:type="dxa"/>
            <w:tcBorders>
              <w:top w:val="nil"/>
              <w:left w:val="nil"/>
              <w:bottom w:val="single" w:sz="4" w:space="0" w:color="auto"/>
              <w:right w:val="single" w:sz="4" w:space="0" w:color="auto"/>
            </w:tcBorders>
            <w:shd w:val="clear" w:color="000000" w:fill="FFFFFF"/>
            <w:vAlign w:val="bottom"/>
            <w:hideMark/>
          </w:tcPr>
          <w:p w14:paraId="292C3223"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R0600</w:t>
            </w:r>
          </w:p>
        </w:tc>
        <w:tc>
          <w:tcPr>
            <w:tcW w:w="1701" w:type="dxa"/>
            <w:tcBorders>
              <w:top w:val="nil"/>
              <w:left w:val="nil"/>
              <w:bottom w:val="single" w:sz="4" w:space="0" w:color="auto"/>
              <w:right w:val="single" w:sz="4" w:space="0" w:color="auto"/>
            </w:tcBorders>
            <w:shd w:val="clear" w:color="000000" w:fill="FFFFFF"/>
            <w:noWrap/>
            <w:vAlign w:val="bottom"/>
            <w:hideMark/>
          </w:tcPr>
          <w:p w14:paraId="1F8C287B"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7296E705"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E51B26B" w14:textId="3C56999C"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Zdravotní pojištění 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0F3671D0"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R0610</w:t>
            </w:r>
          </w:p>
        </w:tc>
        <w:tc>
          <w:tcPr>
            <w:tcW w:w="1701" w:type="dxa"/>
            <w:tcBorders>
              <w:top w:val="nil"/>
              <w:left w:val="nil"/>
              <w:bottom w:val="single" w:sz="4" w:space="0" w:color="auto"/>
              <w:right w:val="single" w:sz="4" w:space="0" w:color="auto"/>
            </w:tcBorders>
            <w:shd w:val="clear" w:color="000000" w:fill="FFFFFF"/>
            <w:noWrap/>
            <w:vAlign w:val="bottom"/>
            <w:hideMark/>
          </w:tcPr>
          <w:p w14:paraId="36B90238"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71359875"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229B25D" w14:textId="4D432CFC"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Technické rezervy vypočtené jako celek ve zdravotním pojištění 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34AC63E4"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R0620</w:t>
            </w:r>
          </w:p>
        </w:tc>
        <w:tc>
          <w:tcPr>
            <w:tcW w:w="1701" w:type="dxa"/>
            <w:tcBorders>
              <w:top w:val="nil"/>
              <w:left w:val="nil"/>
              <w:bottom w:val="single" w:sz="4" w:space="0" w:color="auto"/>
              <w:right w:val="single" w:sz="4" w:space="0" w:color="auto"/>
            </w:tcBorders>
            <w:shd w:val="clear" w:color="000000" w:fill="FFFFFF"/>
            <w:noWrap/>
            <w:vAlign w:val="bottom"/>
            <w:hideMark/>
          </w:tcPr>
          <w:p w14:paraId="5480EDF4"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66438637"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026B325" w14:textId="1853569E"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Hrubý nejlepší odhad technických rezerv ve zdravotním pojištění 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57B368F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R0630</w:t>
            </w:r>
          </w:p>
        </w:tc>
        <w:tc>
          <w:tcPr>
            <w:tcW w:w="1701" w:type="dxa"/>
            <w:tcBorders>
              <w:top w:val="nil"/>
              <w:left w:val="nil"/>
              <w:bottom w:val="single" w:sz="4" w:space="0" w:color="auto"/>
              <w:right w:val="single" w:sz="4" w:space="0" w:color="auto"/>
            </w:tcBorders>
            <w:shd w:val="clear" w:color="000000" w:fill="FFFFFF"/>
            <w:noWrap/>
            <w:vAlign w:val="bottom"/>
            <w:hideMark/>
          </w:tcPr>
          <w:p w14:paraId="18CF5D85"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7E2A147A"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780D016" w14:textId="29E7AE26"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 xml:space="preserve">Riziková přirážka technických rezerv ve zdravotním pojištění SLT </w:t>
            </w:r>
            <w:proofErr w:type="spellStart"/>
            <w:r w:rsidRPr="00B330BA">
              <w:rPr>
                <w:rFonts w:ascii="Calibri" w:hAnsi="Calibri" w:cs="Calibri"/>
                <w:color w:val="000000"/>
                <w:sz w:val="16"/>
                <w:szCs w:val="16"/>
              </w:rPr>
              <w:t>Health</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14:paraId="33BBA93F"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R0640</w:t>
            </w:r>
          </w:p>
        </w:tc>
        <w:tc>
          <w:tcPr>
            <w:tcW w:w="1701" w:type="dxa"/>
            <w:tcBorders>
              <w:top w:val="nil"/>
              <w:left w:val="nil"/>
              <w:bottom w:val="single" w:sz="4" w:space="0" w:color="auto"/>
              <w:right w:val="single" w:sz="4" w:space="0" w:color="auto"/>
            </w:tcBorders>
            <w:shd w:val="clear" w:color="000000" w:fill="FFFFFF"/>
            <w:noWrap/>
            <w:vAlign w:val="bottom"/>
            <w:hideMark/>
          </w:tcPr>
          <w:p w14:paraId="415893C7"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2AEFC019"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F608EB2" w14:textId="73D68026"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Životní pojištění</w:t>
            </w:r>
          </w:p>
        </w:tc>
        <w:tc>
          <w:tcPr>
            <w:tcW w:w="567" w:type="dxa"/>
            <w:tcBorders>
              <w:top w:val="nil"/>
              <w:left w:val="nil"/>
              <w:bottom w:val="single" w:sz="4" w:space="0" w:color="auto"/>
              <w:right w:val="single" w:sz="4" w:space="0" w:color="auto"/>
            </w:tcBorders>
            <w:shd w:val="clear" w:color="000000" w:fill="FFFFFF"/>
            <w:vAlign w:val="bottom"/>
            <w:hideMark/>
          </w:tcPr>
          <w:p w14:paraId="264F1E9A"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R0650</w:t>
            </w:r>
          </w:p>
        </w:tc>
        <w:tc>
          <w:tcPr>
            <w:tcW w:w="1701" w:type="dxa"/>
            <w:tcBorders>
              <w:top w:val="nil"/>
              <w:left w:val="nil"/>
              <w:bottom w:val="single" w:sz="4" w:space="0" w:color="auto"/>
              <w:right w:val="single" w:sz="4" w:space="0" w:color="auto"/>
            </w:tcBorders>
            <w:shd w:val="clear" w:color="000000" w:fill="FFFFFF"/>
            <w:noWrap/>
            <w:vAlign w:val="bottom"/>
            <w:hideMark/>
          </w:tcPr>
          <w:p w14:paraId="4455CEEA"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41FFA52B"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AA957CC" w14:textId="0487E700"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Technické rezervy vypočtené jako celek v 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5D9A0958"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R0660</w:t>
            </w:r>
          </w:p>
        </w:tc>
        <w:tc>
          <w:tcPr>
            <w:tcW w:w="1701" w:type="dxa"/>
            <w:tcBorders>
              <w:top w:val="nil"/>
              <w:left w:val="nil"/>
              <w:bottom w:val="single" w:sz="4" w:space="0" w:color="auto"/>
              <w:right w:val="single" w:sz="4" w:space="0" w:color="auto"/>
            </w:tcBorders>
            <w:shd w:val="clear" w:color="000000" w:fill="FFFFFF"/>
            <w:noWrap/>
            <w:vAlign w:val="bottom"/>
            <w:hideMark/>
          </w:tcPr>
          <w:p w14:paraId="796565CF"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BA67B33"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7703CEA" w14:textId="0BCD3FAE"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Hrubý nejlepší odhad technických rezerv v 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77DD8BC3"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R0670</w:t>
            </w:r>
          </w:p>
        </w:tc>
        <w:tc>
          <w:tcPr>
            <w:tcW w:w="1701" w:type="dxa"/>
            <w:tcBorders>
              <w:top w:val="nil"/>
              <w:left w:val="nil"/>
              <w:bottom w:val="single" w:sz="4" w:space="0" w:color="auto"/>
              <w:right w:val="single" w:sz="4" w:space="0" w:color="auto"/>
            </w:tcBorders>
            <w:shd w:val="clear" w:color="000000" w:fill="FFFFFF"/>
            <w:noWrap/>
            <w:vAlign w:val="bottom"/>
            <w:hideMark/>
          </w:tcPr>
          <w:p w14:paraId="09479EDF"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02CC71FF"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CD1111E" w14:textId="0810C22E"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Riziková přirážka technických rezerv v životním pojištění</w:t>
            </w:r>
          </w:p>
        </w:tc>
        <w:tc>
          <w:tcPr>
            <w:tcW w:w="567" w:type="dxa"/>
            <w:tcBorders>
              <w:top w:val="nil"/>
              <w:left w:val="nil"/>
              <w:bottom w:val="single" w:sz="4" w:space="0" w:color="auto"/>
              <w:right w:val="single" w:sz="4" w:space="0" w:color="auto"/>
            </w:tcBorders>
            <w:shd w:val="clear" w:color="000000" w:fill="FFFFFF"/>
            <w:vAlign w:val="bottom"/>
            <w:hideMark/>
          </w:tcPr>
          <w:p w14:paraId="5B8A9193"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R0680</w:t>
            </w:r>
          </w:p>
        </w:tc>
        <w:tc>
          <w:tcPr>
            <w:tcW w:w="1701" w:type="dxa"/>
            <w:tcBorders>
              <w:top w:val="nil"/>
              <w:left w:val="nil"/>
              <w:bottom w:val="single" w:sz="4" w:space="0" w:color="auto"/>
              <w:right w:val="single" w:sz="4" w:space="0" w:color="auto"/>
            </w:tcBorders>
            <w:shd w:val="clear" w:color="000000" w:fill="FFFFFF"/>
            <w:noWrap/>
            <w:vAlign w:val="bottom"/>
            <w:hideMark/>
          </w:tcPr>
          <w:p w14:paraId="6DFFA0E5"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DC4E88D"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83E0067" w14:textId="4C3B8C13"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Pojištění s plněním vázaným na index nebo hodnotu IF</w:t>
            </w:r>
          </w:p>
        </w:tc>
        <w:tc>
          <w:tcPr>
            <w:tcW w:w="567" w:type="dxa"/>
            <w:tcBorders>
              <w:top w:val="nil"/>
              <w:left w:val="nil"/>
              <w:bottom w:val="single" w:sz="4" w:space="0" w:color="auto"/>
              <w:right w:val="single" w:sz="4" w:space="0" w:color="auto"/>
            </w:tcBorders>
            <w:shd w:val="clear" w:color="000000" w:fill="FFFFFF"/>
            <w:vAlign w:val="bottom"/>
            <w:hideMark/>
          </w:tcPr>
          <w:p w14:paraId="7DA2552B"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R0690</w:t>
            </w:r>
          </w:p>
        </w:tc>
        <w:tc>
          <w:tcPr>
            <w:tcW w:w="1701" w:type="dxa"/>
            <w:tcBorders>
              <w:top w:val="nil"/>
              <w:left w:val="nil"/>
              <w:bottom w:val="single" w:sz="4" w:space="0" w:color="auto"/>
              <w:right w:val="single" w:sz="4" w:space="0" w:color="auto"/>
            </w:tcBorders>
            <w:shd w:val="clear" w:color="000000" w:fill="FFFFFF"/>
            <w:noWrap/>
            <w:vAlign w:val="bottom"/>
            <w:hideMark/>
          </w:tcPr>
          <w:p w14:paraId="57AA5D2A"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07087EF5" w14:textId="77777777" w:rsidTr="00DF099F">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61A5053" w14:textId="0A23982A"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Technické rezervy vypočtené jako celek k pojištění s plněním vázaným na index nebo hodnotu IF</w:t>
            </w:r>
          </w:p>
        </w:tc>
        <w:tc>
          <w:tcPr>
            <w:tcW w:w="567" w:type="dxa"/>
            <w:tcBorders>
              <w:top w:val="nil"/>
              <w:left w:val="nil"/>
              <w:bottom w:val="single" w:sz="4" w:space="0" w:color="auto"/>
              <w:right w:val="single" w:sz="4" w:space="0" w:color="auto"/>
            </w:tcBorders>
            <w:shd w:val="clear" w:color="000000" w:fill="FFFFFF"/>
            <w:vAlign w:val="bottom"/>
            <w:hideMark/>
          </w:tcPr>
          <w:p w14:paraId="7A885797"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R0700</w:t>
            </w:r>
          </w:p>
        </w:tc>
        <w:tc>
          <w:tcPr>
            <w:tcW w:w="1701" w:type="dxa"/>
            <w:tcBorders>
              <w:top w:val="nil"/>
              <w:left w:val="nil"/>
              <w:bottom w:val="single" w:sz="4" w:space="0" w:color="auto"/>
              <w:right w:val="single" w:sz="4" w:space="0" w:color="auto"/>
            </w:tcBorders>
            <w:shd w:val="clear" w:color="000000" w:fill="FFFFFF"/>
            <w:noWrap/>
            <w:vAlign w:val="bottom"/>
            <w:hideMark/>
          </w:tcPr>
          <w:p w14:paraId="5B953B15"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FE4BBB7"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BFB26D0" w14:textId="675822B1"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Hrubý nejlepší odhad TR u pojištění s plněním vázaným na index nebo hodnotu IF</w:t>
            </w:r>
          </w:p>
        </w:tc>
        <w:tc>
          <w:tcPr>
            <w:tcW w:w="567" w:type="dxa"/>
            <w:tcBorders>
              <w:top w:val="nil"/>
              <w:left w:val="nil"/>
              <w:bottom w:val="single" w:sz="4" w:space="0" w:color="auto"/>
              <w:right w:val="single" w:sz="4" w:space="0" w:color="auto"/>
            </w:tcBorders>
            <w:shd w:val="clear" w:color="000000" w:fill="FFFFFF"/>
            <w:vAlign w:val="bottom"/>
            <w:hideMark/>
          </w:tcPr>
          <w:p w14:paraId="1D0CE10A"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R0710</w:t>
            </w:r>
          </w:p>
        </w:tc>
        <w:tc>
          <w:tcPr>
            <w:tcW w:w="1701" w:type="dxa"/>
            <w:tcBorders>
              <w:top w:val="nil"/>
              <w:left w:val="nil"/>
              <w:bottom w:val="single" w:sz="4" w:space="0" w:color="auto"/>
              <w:right w:val="single" w:sz="4" w:space="0" w:color="auto"/>
            </w:tcBorders>
            <w:shd w:val="clear" w:color="000000" w:fill="FFFFFF"/>
            <w:noWrap/>
            <w:vAlign w:val="bottom"/>
            <w:hideMark/>
          </w:tcPr>
          <w:p w14:paraId="122210A1"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F813C54"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5024368" w14:textId="6739E2BA"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Riziková přirážka TR u pojištění s plněním vázaným na index nebo hodnotu IF</w:t>
            </w:r>
          </w:p>
        </w:tc>
        <w:tc>
          <w:tcPr>
            <w:tcW w:w="567" w:type="dxa"/>
            <w:tcBorders>
              <w:top w:val="nil"/>
              <w:left w:val="nil"/>
              <w:bottom w:val="single" w:sz="4" w:space="0" w:color="auto"/>
              <w:right w:val="single" w:sz="4" w:space="0" w:color="auto"/>
            </w:tcBorders>
            <w:shd w:val="clear" w:color="000000" w:fill="FFFFFF"/>
            <w:vAlign w:val="bottom"/>
            <w:hideMark/>
          </w:tcPr>
          <w:p w14:paraId="02E0C427"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R0720</w:t>
            </w:r>
          </w:p>
        </w:tc>
        <w:tc>
          <w:tcPr>
            <w:tcW w:w="1701" w:type="dxa"/>
            <w:tcBorders>
              <w:top w:val="nil"/>
              <w:left w:val="nil"/>
              <w:bottom w:val="single" w:sz="4" w:space="0" w:color="auto"/>
              <w:right w:val="single" w:sz="4" w:space="0" w:color="auto"/>
            </w:tcBorders>
            <w:shd w:val="clear" w:color="000000" w:fill="FFFFFF"/>
            <w:noWrap/>
            <w:vAlign w:val="bottom"/>
            <w:hideMark/>
          </w:tcPr>
          <w:p w14:paraId="03D1B7B5"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5CE49D4C"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tcPr>
          <w:p w14:paraId="04E7F4BE" w14:textId="6D0019EA"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Jiné technické rezervy</w:t>
            </w:r>
          </w:p>
        </w:tc>
        <w:tc>
          <w:tcPr>
            <w:tcW w:w="567" w:type="dxa"/>
            <w:tcBorders>
              <w:top w:val="nil"/>
              <w:left w:val="nil"/>
              <w:bottom w:val="single" w:sz="4" w:space="0" w:color="auto"/>
              <w:right w:val="single" w:sz="4" w:space="0" w:color="auto"/>
            </w:tcBorders>
            <w:shd w:val="clear" w:color="000000" w:fill="FFFFFF"/>
            <w:vAlign w:val="bottom"/>
          </w:tcPr>
          <w:p w14:paraId="51A4D1EC" w14:textId="67860F1C" w:rsidR="00751E1C" w:rsidRPr="007508A2" w:rsidRDefault="00751E1C" w:rsidP="00751E1C">
            <w:pPr>
              <w:spacing w:after="0" w:line="240" w:lineRule="auto"/>
              <w:jc w:val="center"/>
              <w:rPr>
                <w:rFonts w:eastAsia="Times New Roman" w:cstheme="minorHAnsi"/>
                <w:sz w:val="16"/>
                <w:szCs w:val="16"/>
                <w:lang w:eastAsia="cs-CZ"/>
              </w:rPr>
            </w:pPr>
            <w:r>
              <w:rPr>
                <w:rFonts w:eastAsia="Times New Roman" w:cstheme="minorHAnsi"/>
                <w:sz w:val="16"/>
                <w:szCs w:val="16"/>
                <w:lang w:eastAsia="cs-CZ"/>
              </w:rPr>
              <w:t>R0730</w:t>
            </w:r>
          </w:p>
        </w:tc>
        <w:tc>
          <w:tcPr>
            <w:tcW w:w="1701" w:type="dxa"/>
            <w:tcBorders>
              <w:top w:val="nil"/>
              <w:left w:val="nil"/>
              <w:bottom w:val="single" w:sz="4" w:space="0" w:color="auto"/>
              <w:right w:val="single" w:sz="4" w:space="0" w:color="auto"/>
            </w:tcBorders>
            <w:shd w:val="clear" w:color="000000" w:fill="FFFFFF"/>
            <w:noWrap/>
            <w:vAlign w:val="bottom"/>
          </w:tcPr>
          <w:p w14:paraId="3B162DB7" w14:textId="77777777" w:rsidR="00751E1C" w:rsidRPr="007508A2" w:rsidRDefault="00751E1C" w:rsidP="00751E1C">
            <w:pPr>
              <w:spacing w:after="0" w:line="240" w:lineRule="auto"/>
              <w:jc w:val="right"/>
              <w:rPr>
                <w:rFonts w:eastAsia="Times New Roman" w:cstheme="minorHAnsi"/>
                <w:color w:val="000000"/>
                <w:sz w:val="16"/>
                <w:szCs w:val="16"/>
                <w:lang w:eastAsia="cs-CZ"/>
              </w:rPr>
            </w:pPr>
          </w:p>
        </w:tc>
      </w:tr>
      <w:tr w:rsidR="00751E1C" w:rsidRPr="007508A2" w14:paraId="4DF7DA33"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BF41502" w14:textId="6A8E8EE6"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Podmíněné závazky</w:t>
            </w:r>
          </w:p>
        </w:tc>
        <w:tc>
          <w:tcPr>
            <w:tcW w:w="567" w:type="dxa"/>
            <w:tcBorders>
              <w:top w:val="nil"/>
              <w:left w:val="nil"/>
              <w:bottom w:val="single" w:sz="4" w:space="0" w:color="auto"/>
              <w:right w:val="single" w:sz="4" w:space="0" w:color="auto"/>
            </w:tcBorders>
            <w:shd w:val="clear" w:color="000000" w:fill="FFFFFF"/>
            <w:vAlign w:val="bottom"/>
            <w:hideMark/>
          </w:tcPr>
          <w:p w14:paraId="1DD6C8A8"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R0740</w:t>
            </w:r>
          </w:p>
        </w:tc>
        <w:tc>
          <w:tcPr>
            <w:tcW w:w="1701" w:type="dxa"/>
            <w:tcBorders>
              <w:top w:val="nil"/>
              <w:left w:val="nil"/>
              <w:bottom w:val="single" w:sz="4" w:space="0" w:color="auto"/>
              <w:right w:val="single" w:sz="4" w:space="0" w:color="auto"/>
            </w:tcBorders>
            <w:shd w:val="clear" w:color="000000" w:fill="FFFFFF"/>
            <w:noWrap/>
            <w:vAlign w:val="bottom"/>
            <w:hideMark/>
          </w:tcPr>
          <w:p w14:paraId="53DC856F"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26C11632"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87ABF6E" w14:textId="603A8FA4"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Rezervy jiné než technické</w:t>
            </w:r>
          </w:p>
        </w:tc>
        <w:tc>
          <w:tcPr>
            <w:tcW w:w="567" w:type="dxa"/>
            <w:tcBorders>
              <w:top w:val="nil"/>
              <w:left w:val="nil"/>
              <w:bottom w:val="single" w:sz="4" w:space="0" w:color="auto"/>
              <w:right w:val="single" w:sz="4" w:space="0" w:color="auto"/>
            </w:tcBorders>
            <w:shd w:val="clear" w:color="000000" w:fill="FFFFFF"/>
            <w:vAlign w:val="bottom"/>
            <w:hideMark/>
          </w:tcPr>
          <w:p w14:paraId="580E9DD3"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R0750</w:t>
            </w:r>
          </w:p>
        </w:tc>
        <w:tc>
          <w:tcPr>
            <w:tcW w:w="1701" w:type="dxa"/>
            <w:tcBorders>
              <w:top w:val="nil"/>
              <w:left w:val="nil"/>
              <w:bottom w:val="single" w:sz="4" w:space="0" w:color="auto"/>
              <w:right w:val="single" w:sz="4" w:space="0" w:color="auto"/>
            </w:tcBorders>
            <w:shd w:val="clear" w:color="000000" w:fill="FFFFFF"/>
            <w:noWrap/>
            <w:vAlign w:val="bottom"/>
            <w:hideMark/>
          </w:tcPr>
          <w:p w14:paraId="43C990B4"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1 903 263</w:t>
            </w:r>
          </w:p>
        </w:tc>
      </w:tr>
      <w:tr w:rsidR="00751E1C" w:rsidRPr="007508A2" w14:paraId="04BC6CAA"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87D369B" w14:textId="02762345"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Závazky v rámci penzijních dávek</w:t>
            </w:r>
          </w:p>
        </w:tc>
        <w:tc>
          <w:tcPr>
            <w:tcW w:w="567" w:type="dxa"/>
            <w:tcBorders>
              <w:top w:val="nil"/>
              <w:left w:val="nil"/>
              <w:bottom w:val="single" w:sz="4" w:space="0" w:color="auto"/>
              <w:right w:val="single" w:sz="4" w:space="0" w:color="auto"/>
            </w:tcBorders>
            <w:shd w:val="clear" w:color="000000" w:fill="FFFFFF"/>
            <w:vAlign w:val="bottom"/>
            <w:hideMark/>
          </w:tcPr>
          <w:p w14:paraId="56A4CC39"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R0760</w:t>
            </w:r>
          </w:p>
        </w:tc>
        <w:tc>
          <w:tcPr>
            <w:tcW w:w="1701" w:type="dxa"/>
            <w:tcBorders>
              <w:top w:val="nil"/>
              <w:left w:val="nil"/>
              <w:bottom w:val="single" w:sz="4" w:space="0" w:color="auto"/>
              <w:right w:val="single" w:sz="4" w:space="0" w:color="auto"/>
            </w:tcBorders>
            <w:shd w:val="clear" w:color="000000" w:fill="FFFFFF"/>
            <w:noWrap/>
            <w:vAlign w:val="bottom"/>
            <w:hideMark/>
          </w:tcPr>
          <w:p w14:paraId="0B3B807A"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89A83B6"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BA16CE8" w14:textId="1F951A31"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Depozita od zajistitelů</w:t>
            </w:r>
          </w:p>
        </w:tc>
        <w:tc>
          <w:tcPr>
            <w:tcW w:w="567" w:type="dxa"/>
            <w:tcBorders>
              <w:top w:val="nil"/>
              <w:left w:val="nil"/>
              <w:bottom w:val="single" w:sz="4" w:space="0" w:color="auto"/>
              <w:right w:val="single" w:sz="4" w:space="0" w:color="auto"/>
            </w:tcBorders>
            <w:shd w:val="clear" w:color="000000" w:fill="FFFFFF"/>
            <w:vAlign w:val="bottom"/>
            <w:hideMark/>
          </w:tcPr>
          <w:p w14:paraId="0ADBCE23"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R0770</w:t>
            </w:r>
          </w:p>
        </w:tc>
        <w:tc>
          <w:tcPr>
            <w:tcW w:w="1701" w:type="dxa"/>
            <w:tcBorders>
              <w:top w:val="nil"/>
              <w:left w:val="nil"/>
              <w:bottom w:val="single" w:sz="4" w:space="0" w:color="auto"/>
              <w:right w:val="single" w:sz="4" w:space="0" w:color="auto"/>
            </w:tcBorders>
            <w:shd w:val="clear" w:color="000000" w:fill="FFFFFF"/>
            <w:noWrap/>
            <w:vAlign w:val="bottom"/>
            <w:hideMark/>
          </w:tcPr>
          <w:p w14:paraId="2D7FBDA1"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75AA4C6D"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ABB95C2" w14:textId="3557F38C"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Odložené daňové závazky</w:t>
            </w:r>
          </w:p>
        </w:tc>
        <w:tc>
          <w:tcPr>
            <w:tcW w:w="567" w:type="dxa"/>
            <w:tcBorders>
              <w:top w:val="nil"/>
              <w:left w:val="nil"/>
              <w:bottom w:val="single" w:sz="4" w:space="0" w:color="auto"/>
              <w:right w:val="single" w:sz="4" w:space="0" w:color="auto"/>
            </w:tcBorders>
            <w:shd w:val="clear" w:color="000000" w:fill="FFFFFF"/>
            <w:vAlign w:val="bottom"/>
            <w:hideMark/>
          </w:tcPr>
          <w:p w14:paraId="096D3FF9"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R0780</w:t>
            </w:r>
          </w:p>
        </w:tc>
        <w:tc>
          <w:tcPr>
            <w:tcW w:w="1701" w:type="dxa"/>
            <w:tcBorders>
              <w:top w:val="nil"/>
              <w:left w:val="nil"/>
              <w:bottom w:val="single" w:sz="4" w:space="0" w:color="auto"/>
              <w:right w:val="single" w:sz="4" w:space="0" w:color="auto"/>
            </w:tcBorders>
            <w:shd w:val="clear" w:color="000000" w:fill="FFFFFF"/>
            <w:noWrap/>
            <w:vAlign w:val="bottom"/>
            <w:hideMark/>
          </w:tcPr>
          <w:p w14:paraId="3F3BD6C0"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2 303 794</w:t>
            </w:r>
          </w:p>
        </w:tc>
      </w:tr>
      <w:tr w:rsidR="00751E1C" w:rsidRPr="007508A2" w14:paraId="62D83A5D"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142F925" w14:textId="16A9B2DF"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Záporná reálná hodnota derivátů</w:t>
            </w:r>
          </w:p>
        </w:tc>
        <w:tc>
          <w:tcPr>
            <w:tcW w:w="567" w:type="dxa"/>
            <w:tcBorders>
              <w:top w:val="nil"/>
              <w:left w:val="nil"/>
              <w:bottom w:val="single" w:sz="4" w:space="0" w:color="auto"/>
              <w:right w:val="single" w:sz="4" w:space="0" w:color="auto"/>
            </w:tcBorders>
            <w:shd w:val="clear" w:color="000000" w:fill="FFFFFF"/>
            <w:vAlign w:val="bottom"/>
            <w:hideMark/>
          </w:tcPr>
          <w:p w14:paraId="215CCA8C"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R0790</w:t>
            </w:r>
          </w:p>
        </w:tc>
        <w:tc>
          <w:tcPr>
            <w:tcW w:w="1701" w:type="dxa"/>
            <w:tcBorders>
              <w:top w:val="nil"/>
              <w:left w:val="nil"/>
              <w:bottom w:val="single" w:sz="4" w:space="0" w:color="auto"/>
              <w:right w:val="single" w:sz="4" w:space="0" w:color="auto"/>
            </w:tcBorders>
            <w:shd w:val="clear" w:color="000000" w:fill="FFFFFF"/>
            <w:noWrap/>
            <w:vAlign w:val="bottom"/>
            <w:hideMark/>
          </w:tcPr>
          <w:p w14:paraId="7FD328FC"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2ED891F"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C43F481" w14:textId="34461D3B"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Závazky vůči úvěrovým institucím</w:t>
            </w:r>
          </w:p>
        </w:tc>
        <w:tc>
          <w:tcPr>
            <w:tcW w:w="567" w:type="dxa"/>
            <w:tcBorders>
              <w:top w:val="nil"/>
              <w:left w:val="nil"/>
              <w:bottom w:val="single" w:sz="4" w:space="0" w:color="auto"/>
              <w:right w:val="single" w:sz="4" w:space="0" w:color="auto"/>
            </w:tcBorders>
            <w:shd w:val="clear" w:color="000000" w:fill="FFFFFF"/>
            <w:vAlign w:val="bottom"/>
            <w:hideMark/>
          </w:tcPr>
          <w:p w14:paraId="7607AFDC"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R0800</w:t>
            </w:r>
          </w:p>
        </w:tc>
        <w:tc>
          <w:tcPr>
            <w:tcW w:w="1701" w:type="dxa"/>
            <w:tcBorders>
              <w:top w:val="nil"/>
              <w:left w:val="nil"/>
              <w:bottom w:val="single" w:sz="4" w:space="0" w:color="auto"/>
              <w:right w:val="single" w:sz="4" w:space="0" w:color="auto"/>
            </w:tcBorders>
            <w:shd w:val="clear" w:color="000000" w:fill="FFFFFF"/>
            <w:noWrap/>
            <w:vAlign w:val="bottom"/>
            <w:hideMark/>
          </w:tcPr>
          <w:p w14:paraId="1FF27134"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6B3CAB5E"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DB22AB3" w14:textId="1A4D1145" w:rsidR="00751E1C" w:rsidRPr="00B330BA" w:rsidRDefault="00751E1C" w:rsidP="00751E1C">
            <w:pPr>
              <w:spacing w:after="0" w:line="240" w:lineRule="auto"/>
              <w:jc w:val="both"/>
              <w:rPr>
                <w:rFonts w:eastAsia="Times New Roman" w:cstheme="minorHAnsi"/>
                <w:sz w:val="16"/>
                <w:szCs w:val="16"/>
                <w:lang w:eastAsia="cs-CZ"/>
              </w:rPr>
            </w:pPr>
            <w:r w:rsidRPr="00B330BA">
              <w:rPr>
                <w:rFonts w:ascii="Calibri" w:hAnsi="Calibri" w:cs="Calibri"/>
                <w:color w:val="000000"/>
                <w:sz w:val="16"/>
                <w:szCs w:val="16"/>
              </w:rPr>
              <w:t>Jiné finanční závazky než závazky vůči úvěrovým institucím</w:t>
            </w:r>
          </w:p>
        </w:tc>
        <w:tc>
          <w:tcPr>
            <w:tcW w:w="567" w:type="dxa"/>
            <w:tcBorders>
              <w:top w:val="nil"/>
              <w:left w:val="nil"/>
              <w:bottom w:val="single" w:sz="4" w:space="0" w:color="auto"/>
              <w:right w:val="single" w:sz="4" w:space="0" w:color="auto"/>
            </w:tcBorders>
            <w:shd w:val="clear" w:color="000000" w:fill="FFFFFF"/>
            <w:vAlign w:val="bottom"/>
            <w:hideMark/>
          </w:tcPr>
          <w:p w14:paraId="171CF6F6" w14:textId="77777777" w:rsidR="00751E1C" w:rsidRPr="007508A2" w:rsidRDefault="00751E1C" w:rsidP="00751E1C">
            <w:pPr>
              <w:spacing w:after="0" w:line="240" w:lineRule="auto"/>
              <w:jc w:val="center"/>
              <w:rPr>
                <w:rFonts w:eastAsia="Times New Roman" w:cstheme="minorHAnsi"/>
                <w:sz w:val="16"/>
                <w:szCs w:val="16"/>
                <w:lang w:eastAsia="cs-CZ"/>
              </w:rPr>
            </w:pPr>
            <w:r w:rsidRPr="007508A2">
              <w:rPr>
                <w:rFonts w:eastAsia="Times New Roman" w:cstheme="minorHAnsi"/>
                <w:sz w:val="16"/>
                <w:szCs w:val="16"/>
                <w:lang w:eastAsia="cs-CZ"/>
              </w:rPr>
              <w:t>R0810</w:t>
            </w:r>
          </w:p>
        </w:tc>
        <w:tc>
          <w:tcPr>
            <w:tcW w:w="1701" w:type="dxa"/>
            <w:tcBorders>
              <w:top w:val="nil"/>
              <w:left w:val="nil"/>
              <w:bottom w:val="single" w:sz="4" w:space="0" w:color="auto"/>
              <w:right w:val="single" w:sz="4" w:space="0" w:color="auto"/>
            </w:tcBorders>
            <w:shd w:val="clear" w:color="auto" w:fill="auto"/>
            <w:noWrap/>
            <w:vAlign w:val="bottom"/>
            <w:hideMark/>
          </w:tcPr>
          <w:p w14:paraId="4D3AFE5A" w14:textId="77777777" w:rsidR="00751E1C" w:rsidRPr="007508A2" w:rsidRDefault="00751E1C" w:rsidP="00751E1C">
            <w:pPr>
              <w:spacing w:after="0" w:line="240" w:lineRule="auto"/>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5DD1CC9B"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1872BD7" w14:textId="1B6FF120"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Závazky z pojištění a závazky vůči zprostředkovatelům</w:t>
            </w:r>
          </w:p>
        </w:tc>
        <w:tc>
          <w:tcPr>
            <w:tcW w:w="567" w:type="dxa"/>
            <w:tcBorders>
              <w:top w:val="nil"/>
              <w:left w:val="nil"/>
              <w:bottom w:val="single" w:sz="4" w:space="0" w:color="auto"/>
              <w:right w:val="single" w:sz="4" w:space="0" w:color="auto"/>
            </w:tcBorders>
            <w:shd w:val="clear" w:color="000000" w:fill="FFFFFF"/>
            <w:vAlign w:val="bottom"/>
            <w:hideMark/>
          </w:tcPr>
          <w:p w14:paraId="09A97FC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R0820</w:t>
            </w:r>
          </w:p>
        </w:tc>
        <w:tc>
          <w:tcPr>
            <w:tcW w:w="1701" w:type="dxa"/>
            <w:tcBorders>
              <w:top w:val="nil"/>
              <w:left w:val="nil"/>
              <w:bottom w:val="single" w:sz="4" w:space="0" w:color="auto"/>
              <w:right w:val="single" w:sz="4" w:space="0" w:color="auto"/>
            </w:tcBorders>
            <w:shd w:val="clear" w:color="000000" w:fill="FFFFFF"/>
            <w:noWrap/>
            <w:vAlign w:val="bottom"/>
            <w:hideMark/>
          </w:tcPr>
          <w:p w14:paraId="46985A6C"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93 065</w:t>
            </w:r>
          </w:p>
        </w:tc>
      </w:tr>
      <w:tr w:rsidR="00751E1C" w:rsidRPr="007508A2" w14:paraId="5DB78A8E"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4A33B50" w14:textId="0AE722B9"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Závazky ze zajištění</w:t>
            </w:r>
          </w:p>
        </w:tc>
        <w:tc>
          <w:tcPr>
            <w:tcW w:w="567" w:type="dxa"/>
            <w:tcBorders>
              <w:top w:val="nil"/>
              <w:left w:val="nil"/>
              <w:bottom w:val="single" w:sz="4" w:space="0" w:color="auto"/>
              <w:right w:val="single" w:sz="4" w:space="0" w:color="auto"/>
            </w:tcBorders>
            <w:shd w:val="clear" w:color="000000" w:fill="FFFFFF"/>
            <w:vAlign w:val="bottom"/>
            <w:hideMark/>
          </w:tcPr>
          <w:p w14:paraId="15274036"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R0830</w:t>
            </w:r>
          </w:p>
        </w:tc>
        <w:tc>
          <w:tcPr>
            <w:tcW w:w="1701" w:type="dxa"/>
            <w:tcBorders>
              <w:top w:val="nil"/>
              <w:left w:val="nil"/>
              <w:bottom w:val="single" w:sz="4" w:space="0" w:color="auto"/>
              <w:right w:val="single" w:sz="4" w:space="0" w:color="auto"/>
            </w:tcBorders>
            <w:shd w:val="clear" w:color="000000" w:fill="FFFFFF"/>
            <w:noWrap/>
            <w:vAlign w:val="bottom"/>
            <w:hideMark/>
          </w:tcPr>
          <w:p w14:paraId="1DD70A6C"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36 664</w:t>
            </w:r>
          </w:p>
        </w:tc>
      </w:tr>
      <w:tr w:rsidR="00751E1C" w:rsidRPr="007508A2" w14:paraId="004E8012"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54B41B3" w14:textId="0DC642E8"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Závazky z obchodního styku</w:t>
            </w:r>
          </w:p>
        </w:tc>
        <w:tc>
          <w:tcPr>
            <w:tcW w:w="567" w:type="dxa"/>
            <w:tcBorders>
              <w:top w:val="nil"/>
              <w:left w:val="nil"/>
              <w:bottom w:val="single" w:sz="4" w:space="0" w:color="auto"/>
              <w:right w:val="single" w:sz="4" w:space="0" w:color="auto"/>
            </w:tcBorders>
            <w:shd w:val="clear" w:color="000000" w:fill="FFFFFF"/>
            <w:vAlign w:val="bottom"/>
            <w:hideMark/>
          </w:tcPr>
          <w:p w14:paraId="1324613F"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R0840</w:t>
            </w:r>
          </w:p>
        </w:tc>
        <w:tc>
          <w:tcPr>
            <w:tcW w:w="1701" w:type="dxa"/>
            <w:tcBorders>
              <w:top w:val="nil"/>
              <w:left w:val="nil"/>
              <w:bottom w:val="single" w:sz="4" w:space="0" w:color="auto"/>
              <w:right w:val="single" w:sz="4" w:space="0" w:color="auto"/>
            </w:tcBorders>
            <w:shd w:val="clear" w:color="000000" w:fill="FFFFFF"/>
            <w:noWrap/>
            <w:vAlign w:val="bottom"/>
            <w:hideMark/>
          </w:tcPr>
          <w:p w14:paraId="75B372F8"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1 161 160</w:t>
            </w:r>
          </w:p>
        </w:tc>
      </w:tr>
      <w:tr w:rsidR="00751E1C" w:rsidRPr="007508A2" w14:paraId="5577067D"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E93DC46" w14:textId="72622912"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Podřízené závazky</w:t>
            </w:r>
          </w:p>
        </w:tc>
        <w:tc>
          <w:tcPr>
            <w:tcW w:w="567" w:type="dxa"/>
            <w:tcBorders>
              <w:top w:val="nil"/>
              <w:left w:val="nil"/>
              <w:bottom w:val="single" w:sz="4" w:space="0" w:color="auto"/>
              <w:right w:val="single" w:sz="4" w:space="0" w:color="auto"/>
            </w:tcBorders>
            <w:shd w:val="clear" w:color="000000" w:fill="FFFFFF"/>
            <w:vAlign w:val="bottom"/>
            <w:hideMark/>
          </w:tcPr>
          <w:p w14:paraId="697649F0"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R0850</w:t>
            </w:r>
          </w:p>
        </w:tc>
        <w:tc>
          <w:tcPr>
            <w:tcW w:w="1701" w:type="dxa"/>
            <w:tcBorders>
              <w:top w:val="nil"/>
              <w:left w:val="nil"/>
              <w:bottom w:val="single" w:sz="4" w:space="0" w:color="auto"/>
              <w:right w:val="single" w:sz="4" w:space="0" w:color="auto"/>
            </w:tcBorders>
            <w:shd w:val="clear" w:color="000000" w:fill="FFFFFF"/>
            <w:noWrap/>
            <w:vAlign w:val="bottom"/>
            <w:hideMark/>
          </w:tcPr>
          <w:p w14:paraId="79FF629C"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1B62462D"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240C127" w14:textId="21D40EE1"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Podřízené závazky nezařazené do primárního kapitálu</w:t>
            </w:r>
          </w:p>
        </w:tc>
        <w:tc>
          <w:tcPr>
            <w:tcW w:w="567" w:type="dxa"/>
            <w:tcBorders>
              <w:top w:val="nil"/>
              <w:left w:val="nil"/>
              <w:bottom w:val="single" w:sz="4" w:space="0" w:color="auto"/>
              <w:right w:val="single" w:sz="4" w:space="0" w:color="auto"/>
            </w:tcBorders>
            <w:shd w:val="clear" w:color="000000" w:fill="FFFFFF"/>
            <w:vAlign w:val="bottom"/>
            <w:hideMark/>
          </w:tcPr>
          <w:p w14:paraId="193EC38C"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R0860</w:t>
            </w:r>
          </w:p>
        </w:tc>
        <w:tc>
          <w:tcPr>
            <w:tcW w:w="1701" w:type="dxa"/>
            <w:tcBorders>
              <w:top w:val="nil"/>
              <w:left w:val="nil"/>
              <w:bottom w:val="single" w:sz="4" w:space="0" w:color="auto"/>
              <w:right w:val="single" w:sz="4" w:space="0" w:color="auto"/>
            </w:tcBorders>
            <w:shd w:val="clear" w:color="000000" w:fill="FFFFFF"/>
            <w:noWrap/>
            <w:vAlign w:val="bottom"/>
            <w:hideMark/>
          </w:tcPr>
          <w:p w14:paraId="17E08530"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FCA07CF"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42AE79E" w14:textId="723263E9"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Podřízené závazky zařazené do primárního kapitálu</w:t>
            </w:r>
          </w:p>
        </w:tc>
        <w:tc>
          <w:tcPr>
            <w:tcW w:w="567" w:type="dxa"/>
            <w:tcBorders>
              <w:top w:val="nil"/>
              <w:left w:val="nil"/>
              <w:bottom w:val="single" w:sz="4" w:space="0" w:color="auto"/>
              <w:right w:val="single" w:sz="4" w:space="0" w:color="auto"/>
            </w:tcBorders>
            <w:shd w:val="clear" w:color="000000" w:fill="FFFFFF"/>
            <w:vAlign w:val="bottom"/>
            <w:hideMark/>
          </w:tcPr>
          <w:p w14:paraId="1D0465E0"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R0870</w:t>
            </w:r>
          </w:p>
        </w:tc>
        <w:tc>
          <w:tcPr>
            <w:tcW w:w="1701" w:type="dxa"/>
            <w:tcBorders>
              <w:top w:val="nil"/>
              <w:left w:val="nil"/>
              <w:bottom w:val="single" w:sz="4" w:space="0" w:color="auto"/>
              <w:right w:val="single" w:sz="4" w:space="0" w:color="auto"/>
            </w:tcBorders>
            <w:shd w:val="clear" w:color="000000" w:fill="FFFFFF"/>
            <w:noWrap/>
            <w:vAlign w:val="bottom"/>
            <w:hideMark/>
          </w:tcPr>
          <w:p w14:paraId="4CC5152C"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 </w:t>
            </w:r>
          </w:p>
        </w:tc>
      </w:tr>
      <w:tr w:rsidR="00751E1C" w:rsidRPr="007508A2" w14:paraId="3F64E6CB"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49A6D56" w14:textId="52D5698C" w:rsidR="00751E1C" w:rsidRPr="00B330BA" w:rsidRDefault="00751E1C" w:rsidP="00751E1C">
            <w:pPr>
              <w:spacing w:after="0" w:line="240" w:lineRule="auto"/>
              <w:jc w:val="both"/>
              <w:rPr>
                <w:rFonts w:eastAsia="Times New Roman" w:cstheme="minorHAnsi"/>
                <w:color w:val="000000"/>
                <w:sz w:val="16"/>
                <w:szCs w:val="16"/>
                <w:lang w:eastAsia="cs-CZ"/>
              </w:rPr>
            </w:pPr>
            <w:r w:rsidRPr="00B330BA">
              <w:rPr>
                <w:rFonts w:ascii="Calibri" w:hAnsi="Calibri" w:cs="Calibri"/>
                <w:color w:val="000000"/>
                <w:sz w:val="16"/>
                <w:szCs w:val="16"/>
              </w:rPr>
              <w:t>Ostatní závazky</w:t>
            </w:r>
          </w:p>
        </w:tc>
        <w:tc>
          <w:tcPr>
            <w:tcW w:w="567" w:type="dxa"/>
            <w:tcBorders>
              <w:top w:val="nil"/>
              <w:left w:val="nil"/>
              <w:bottom w:val="single" w:sz="4" w:space="0" w:color="auto"/>
              <w:right w:val="single" w:sz="4" w:space="0" w:color="auto"/>
            </w:tcBorders>
            <w:shd w:val="clear" w:color="000000" w:fill="FFFFFF"/>
            <w:vAlign w:val="bottom"/>
            <w:hideMark/>
          </w:tcPr>
          <w:p w14:paraId="73614D9D" w14:textId="77777777" w:rsidR="00751E1C" w:rsidRPr="007508A2" w:rsidRDefault="00751E1C" w:rsidP="00751E1C">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R0880</w:t>
            </w:r>
          </w:p>
        </w:tc>
        <w:tc>
          <w:tcPr>
            <w:tcW w:w="1701" w:type="dxa"/>
            <w:tcBorders>
              <w:top w:val="nil"/>
              <w:left w:val="nil"/>
              <w:bottom w:val="single" w:sz="4" w:space="0" w:color="auto"/>
              <w:right w:val="single" w:sz="4" w:space="0" w:color="auto"/>
            </w:tcBorders>
            <w:shd w:val="clear" w:color="000000" w:fill="FFFFFF"/>
            <w:noWrap/>
            <w:vAlign w:val="bottom"/>
            <w:hideMark/>
          </w:tcPr>
          <w:p w14:paraId="76EB63E9" w14:textId="77777777" w:rsidR="00751E1C" w:rsidRPr="007508A2" w:rsidRDefault="00751E1C" w:rsidP="00751E1C">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25 880 183</w:t>
            </w:r>
          </w:p>
        </w:tc>
      </w:tr>
      <w:tr w:rsidR="00BE0B0B" w:rsidRPr="007508A2" w14:paraId="30F2D66A"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CF6CB0C" w14:textId="3CC7C32D" w:rsidR="00BE0B0B" w:rsidRPr="007508A2" w:rsidRDefault="002E30E1" w:rsidP="00C60C85">
            <w:pPr>
              <w:spacing w:after="0" w:line="240" w:lineRule="auto"/>
              <w:rPr>
                <w:rFonts w:eastAsia="Times New Roman" w:cstheme="minorHAnsi"/>
                <w:b/>
                <w:bCs/>
                <w:color w:val="000000"/>
                <w:sz w:val="16"/>
                <w:szCs w:val="16"/>
                <w:lang w:eastAsia="cs-CZ"/>
              </w:rPr>
            </w:pPr>
            <w:r>
              <w:rPr>
                <w:rFonts w:eastAsia="Times New Roman" w:cstheme="minorHAnsi"/>
                <w:b/>
                <w:bCs/>
                <w:color w:val="000000"/>
                <w:sz w:val="16"/>
                <w:szCs w:val="16"/>
                <w:lang w:eastAsia="cs-CZ"/>
              </w:rPr>
              <w:t>Závazky</w:t>
            </w:r>
            <w:r w:rsidR="00BE0B0B" w:rsidRPr="007508A2">
              <w:rPr>
                <w:rFonts w:eastAsia="Times New Roman" w:cstheme="minorHAnsi"/>
                <w:b/>
                <w:bCs/>
                <w:color w:val="000000"/>
                <w:sz w:val="16"/>
                <w:szCs w:val="16"/>
                <w:lang w:eastAsia="cs-CZ"/>
              </w:rPr>
              <w:t xml:space="preserve"> celkem</w:t>
            </w:r>
          </w:p>
        </w:tc>
        <w:tc>
          <w:tcPr>
            <w:tcW w:w="567" w:type="dxa"/>
            <w:tcBorders>
              <w:top w:val="nil"/>
              <w:left w:val="nil"/>
              <w:bottom w:val="single" w:sz="4" w:space="0" w:color="auto"/>
              <w:right w:val="single" w:sz="4" w:space="0" w:color="auto"/>
            </w:tcBorders>
            <w:shd w:val="clear" w:color="000000" w:fill="FFFFFF"/>
            <w:vAlign w:val="bottom"/>
            <w:hideMark/>
          </w:tcPr>
          <w:p w14:paraId="42D841E8" w14:textId="77777777" w:rsidR="00BE0B0B" w:rsidRPr="007508A2" w:rsidRDefault="00BE0B0B" w:rsidP="00C60C85">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R0900</w:t>
            </w:r>
          </w:p>
        </w:tc>
        <w:tc>
          <w:tcPr>
            <w:tcW w:w="1701" w:type="dxa"/>
            <w:tcBorders>
              <w:top w:val="nil"/>
              <w:left w:val="nil"/>
              <w:bottom w:val="single" w:sz="4" w:space="0" w:color="auto"/>
              <w:right w:val="single" w:sz="4" w:space="0" w:color="auto"/>
            </w:tcBorders>
            <w:shd w:val="clear" w:color="000000" w:fill="FFFFFF"/>
            <w:noWrap/>
            <w:vAlign w:val="bottom"/>
            <w:hideMark/>
          </w:tcPr>
          <w:p w14:paraId="7D65441C" w14:textId="77777777" w:rsidR="00BE0B0B" w:rsidRPr="007508A2" w:rsidRDefault="00BE0B0B" w:rsidP="00C60C85">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40 143 401</w:t>
            </w:r>
          </w:p>
        </w:tc>
      </w:tr>
      <w:tr w:rsidR="00BE0B0B" w:rsidRPr="007508A2" w14:paraId="501E319F" w14:textId="77777777" w:rsidTr="00C60C85">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F187E3E" w14:textId="77777777" w:rsidR="00BE0B0B" w:rsidRPr="007508A2" w:rsidRDefault="00BE0B0B" w:rsidP="00C60C85">
            <w:pPr>
              <w:spacing w:after="0" w:line="240" w:lineRule="auto"/>
              <w:rPr>
                <w:rFonts w:eastAsia="Times New Roman" w:cstheme="minorHAnsi"/>
                <w:b/>
                <w:bCs/>
                <w:color w:val="000000"/>
                <w:sz w:val="16"/>
                <w:szCs w:val="16"/>
                <w:lang w:eastAsia="cs-CZ"/>
              </w:rPr>
            </w:pPr>
            <w:r w:rsidRPr="007508A2">
              <w:rPr>
                <w:rFonts w:eastAsia="Times New Roman" w:cstheme="minorHAnsi"/>
                <w:b/>
                <w:bCs/>
                <w:color w:val="000000"/>
                <w:sz w:val="16"/>
                <w:szCs w:val="16"/>
                <w:lang w:eastAsia="cs-CZ"/>
              </w:rPr>
              <w:t>Přebytek aktiv nad závazky</w:t>
            </w:r>
          </w:p>
        </w:tc>
        <w:tc>
          <w:tcPr>
            <w:tcW w:w="567" w:type="dxa"/>
            <w:tcBorders>
              <w:top w:val="nil"/>
              <w:left w:val="nil"/>
              <w:bottom w:val="single" w:sz="4" w:space="0" w:color="auto"/>
              <w:right w:val="single" w:sz="4" w:space="0" w:color="auto"/>
            </w:tcBorders>
            <w:shd w:val="clear" w:color="000000" w:fill="FFFFFF"/>
            <w:vAlign w:val="bottom"/>
            <w:hideMark/>
          </w:tcPr>
          <w:p w14:paraId="19AFF348" w14:textId="77777777" w:rsidR="00BE0B0B" w:rsidRPr="007508A2" w:rsidRDefault="00BE0B0B" w:rsidP="00C60C85">
            <w:pPr>
              <w:spacing w:after="0" w:line="240" w:lineRule="auto"/>
              <w:jc w:val="center"/>
              <w:rPr>
                <w:rFonts w:eastAsia="Times New Roman" w:cstheme="minorHAnsi"/>
                <w:color w:val="000000"/>
                <w:sz w:val="16"/>
                <w:szCs w:val="16"/>
                <w:lang w:eastAsia="cs-CZ"/>
              </w:rPr>
            </w:pPr>
            <w:r w:rsidRPr="007508A2">
              <w:rPr>
                <w:rFonts w:eastAsia="Times New Roman" w:cstheme="minorHAnsi"/>
                <w:color w:val="000000"/>
                <w:sz w:val="16"/>
                <w:szCs w:val="16"/>
                <w:lang w:eastAsia="cs-CZ"/>
              </w:rPr>
              <w:t>R1000</w:t>
            </w:r>
          </w:p>
        </w:tc>
        <w:tc>
          <w:tcPr>
            <w:tcW w:w="1701" w:type="dxa"/>
            <w:tcBorders>
              <w:top w:val="nil"/>
              <w:left w:val="nil"/>
              <w:bottom w:val="single" w:sz="4" w:space="0" w:color="auto"/>
              <w:right w:val="single" w:sz="4" w:space="0" w:color="auto"/>
            </w:tcBorders>
            <w:shd w:val="clear" w:color="000000" w:fill="FFFFFF"/>
            <w:noWrap/>
            <w:vAlign w:val="bottom"/>
            <w:hideMark/>
          </w:tcPr>
          <w:p w14:paraId="0E14D438" w14:textId="77777777" w:rsidR="00BE0B0B" w:rsidRPr="007508A2" w:rsidRDefault="00BE0B0B" w:rsidP="00C60C85">
            <w:pPr>
              <w:spacing w:after="0" w:line="240" w:lineRule="auto"/>
              <w:jc w:val="right"/>
              <w:rPr>
                <w:rFonts w:eastAsia="Times New Roman" w:cstheme="minorHAnsi"/>
                <w:color w:val="000000"/>
                <w:sz w:val="16"/>
                <w:szCs w:val="16"/>
                <w:lang w:eastAsia="cs-CZ"/>
              </w:rPr>
            </w:pPr>
            <w:r w:rsidRPr="007508A2">
              <w:rPr>
                <w:rFonts w:eastAsia="Times New Roman" w:cstheme="minorHAnsi"/>
                <w:color w:val="000000"/>
                <w:sz w:val="16"/>
                <w:szCs w:val="16"/>
                <w:lang w:eastAsia="cs-CZ"/>
              </w:rPr>
              <w:t>140 947 890</w:t>
            </w:r>
          </w:p>
        </w:tc>
      </w:tr>
    </w:tbl>
    <w:p w14:paraId="329C9427" w14:textId="77777777" w:rsidR="00FA5B54" w:rsidRDefault="00FA5B54" w:rsidP="00FA5B54"/>
    <w:p w14:paraId="3BEC5B8F" w14:textId="77777777" w:rsidR="00FA5B54" w:rsidRDefault="00FA5B54" w:rsidP="00FA5B54"/>
    <w:p w14:paraId="2FE08B8A" w14:textId="77777777" w:rsidR="008C3897" w:rsidRDefault="008C3897">
      <w:pPr>
        <w:rPr>
          <w:rFonts w:asciiTheme="majorHAnsi" w:eastAsiaTheme="majorEastAsia" w:hAnsiTheme="majorHAnsi" w:cstheme="majorBidi"/>
          <w:sz w:val="26"/>
          <w:szCs w:val="26"/>
        </w:rPr>
      </w:pPr>
      <w:r>
        <w:br w:type="page"/>
      </w:r>
    </w:p>
    <w:p w14:paraId="058F5967" w14:textId="54FFCEAB" w:rsidR="00FA5B54" w:rsidRPr="00E52A1B" w:rsidRDefault="00FA5B54" w:rsidP="00E52A1B">
      <w:pPr>
        <w:pStyle w:val="Nadpis2"/>
        <w:rPr>
          <w:color w:val="auto"/>
        </w:rPr>
      </w:pPr>
      <w:bookmarkStart w:id="43" w:name="_Toc75366907"/>
      <w:r w:rsidRPr="00740151">
        <w:rPr>
          <w:color w:val="auto"/>
        </w:rPr>
        <w:lastRenderedPageBreak/>
        <w:t>S.05.01.0</w:t>
      </w:r>
      <w:r w:rsidR="00A112A8">
        <w:rPr>
          <w:color w:val="auto"/>
        </w:rPr>
        <w:t>1</w:t>
      </w:r>
      <w:r w:rsidRPr="00740151">
        <w:rPr>
          <w:color w:val="auto"/>
        </w:rPr>
        <w:t xml:space="preserve"> </w:t>
      </w:r>
      <w:r w:rsidR="00EE22D7">
        <w:rPr>
          <w:color w:val="auto"/>
        </w:rPr>
        <w:t>Neživotní</w:t>
      </w:r>
      <w:r w:rsidRPr="00740151">
        <w:rPr>
          <w:color w:val="auto"/>
        </w:rPr>
        <w:t xml:space="preserve"> pojištění</w:t>
      </w:r>
      <w:bookmarkEnd w:id="43"/>
      <w:r w:rsidRPr="00740151">
        <w:rPr>
          <w:color w:val="auto"/>
        </w:rPr>
        <w:t xml:space="preserve"> </w:t>
      </w:r>
    </w:p>
    <w:tbl>
      <w:tblPr>
        <w:tblW w:w="10065" w:type="dxa"/>
        <w:tblCellMar>
          <w:left w:w="70" w:type="dxa"/>
          <w:right w:w="70" w:type="dxa"/>
        </w:tblCellMar>
        <w:tblLook w:val="04A0" w:firstRow="1" w:lastRow="0" w:firstColumn="1" w:lastColumn="0" w:noHBand="0" w:noVBand="1"/>
      </w:tblPr>
      <w:tblGrid>
        <w:gridCol w:w="3828"/>
        <w:gridCol w:w="1134"/>
        <w:gridCol w:w="2835"/>
        <w:gridCol w:w="2268"/>
      </w:tblGrid>
      <w:tr w:rsidR="00241164" w:rsidRPr="00241164" w14:paraId="1F4C663A" w14:textId="77777777" w:rsidTr="001D43E8">
        <w:tc>
          <w:tcPr>
            <w:tcW w:w="10065" w:type="dxa"/>
            <w:gridSpan w:val="4"/>
            <w:tcBorders>
              <w:top w:val="nil"/>
              <w:left w:val="nil"/>
              <w:bottom w:val="nil"/>
              <w:right w:val="nil"/>
            </w:tcBorders>
            <w:shd w:val="clear" w:color="auto" w:fill="auto"/>
            <w:noWrap/>
            <w:vAlign w:val="bottom"/>
            <w:hideMark/>
          </w:tcPr>
          <w:p w14:paraId="47944CA0" w14:textId="545D1BC7" w:rsidR="00241164" w:rsidRPr="00241164" w:rsidRDefault="00241164" w:rsidP="00241164">
            <w:pPr>
              <w:spacing w:after="0" w:line="240" w:lineRule="auto"/>
              <w:rPr>
                <w:rFonts w:ascii="Calibri" w:eastAsia="Times New Roman" w:hAnsi="Calibri" w:cs="Calibri"/>
                <w:b/>
                <w:bCs/>
                <w:color w:val="000000"/>
                <w:sz w:val="18"/>
                <w:szCs w:val="18"/>
                <w:lang w:eastAsia="cs-CZ"/>
              </w:rPr>
            </w:pPr>
            <w:r w:rsidRPr="00241164">
              <w:rPr>
                <w:rFonts w:ascii="Calibri" w:eastAsia="Times New Roman" w:hAnsi="Calibri" w:cs="Calibri"/>
                <w:b/>
                <w:bCs/>
                <w:color w:val="000000"/>
                <w:sz w:val="18"/>
                <w:szCs w:val="18"/>
                <w:lang w:eastAsia="cs-CZ"/>
              </w:rPr>
              <w:t>Neživotní pojištění (přímé pojištění/přijaté proporcionální zajištění a přijaté neproporcionální zajištění)</w:t>
            </w:r>
          </w:p>
        </w:tc>
      </w:tr>
      <w:tr w:rsidR="001D43E8" w:rsidRPr="00241164" w14:paraId="064D06D7" w14:textId="77777777" w:rsidTr="001D43E8">
        <w:tc>
          <w:tcPr>
            <w:tcW w:w="3828" w:type="dxa"/>
            <w:tcBorders>
              <w:top w:val="nil"/>
              <w:left w:val="nil"/>
              <w:bottom w:val="nil"/>
              <w:right w:val="nil"/>
            </w:tcBorders>
            <w:shd w:val="clear" w:color="auto" w:fill="auto"/>
            <w:noWrap/>
            <w:vAlign w:val="bottom"/>
            <w:hideMark/>
          </w:tcPr>
          <w:p w14:paraId="50FA7937" w14:textId="77777777" w:rsidR="00241164" w:rsidRPr="00241164" w:rsidRDefault="00241164" w:rsidP="00241164">
            <w:pPr>
              <w:spacing w:after="0" w:line="240" w:lineRule="auto"/>
              <w:rPr>
                <w:rFonts w:ascii="Calibri" w:eastAsia="Times New Roman" w:hAnsi="Calibri" w:cs="Calibri"/>
                <w:b/>
                <w:bCs/>
                <w:color w:val="000000"/>
                <w:sz w:val="15"/>
                <w:szCs w:val="15"/>
                <w:lang w:eastAsia="cs-CZ"/>
              </w:rPr>
            </w:pPr>
          </w:p>
        </w:tc>
        <w:tc>
          <w:tcPr>
            <w:tcW w:w="1134" w:type="dxa"/>
            <w:tcBorders>
              <w:top w:val="nil"/>
              <w:left w:val="nil"/>
              <w:bottom w:val="nil"/>
              <w:right w:val="nil"/>
            </w:tcBorders>
            <w:shd w:val="clear" w:color="auto" w:fill="auto"/>
            <w:noWrap/>
            <w:vAlign w:val="bottom"/>
            <w:hideMark/>
          </w:tcPr>
          <w:p w14:paraId="34090B06"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nil"/>
              <w:bottom w:val="nil"/>
              <w:right w:val="nil"/>
            </w:tcBorders>
            <w:shd w:val="clear" w:color="auto" w:fill="auto"/>
            <w:noWrap/>
            <w:vAlign w:val="bottom"/>
            <w:hideMark/>
          </w:tcPr>
          <w:p w14:paraId="59F8A910"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268" w:type="dxa"/>
            <w:tcBorders>
              <w:top w:val="nil"/>
              <w:left w:val="nil"/>
              <w:bottom w:val="nil"/>
              <w:right w:val="nil"/>
            </w:tcBorders>
            <w:shd w:val="clear" w:color="auto" w:fill="auto"/>
            <w:noWrap/>
            <w:vAlign w:val="bottom"/>
            <w:hideMark/>
          </w:tcPr>
          <w:p w14:paraId="337ABA62"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r>
      <w:tr w:rsidR="001D43E8" w:rsidRPr="00241164" w14:paraId="64DC5937" w14:textId="77777777" w:rsidTr="001D43E8">
        <w:tc>
          <w:tcPr>
            <w:tcW w:w="3828" w:type="dxa"/>
            <w:tcBorders>
              <w:top w:val="nil"/>
              <w:left w:val="nil"/>
              <w:bottom w:val="nil"/>
              <w:right w:val="nil"/>
            </w:tcBorders>
            <w:shd w:val="clear" w:color="auto" w:fill="auto"/>
            <w:noWrap/>
            <w:vAlign w:val="bottom"/>
            <w:hideMark/>
          </w:tcPr>
          <w:p w14:paraId="540C1349"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1134" w:type="dxa"/>
            <w:tcBorders>
              <w:top w:val="nil"/>
              <w:left w:val="nil"/>
              <w:bottom w:val="nil"/>
              <w:right w:val="nil"/>
            </w:tcBorders>
            <w:shd w:val="clear" w:color="auto" w:fill="auto"/>
            <w:noWrap/>
            <w:vAlign w:val="bottom"/>
            <w:hideMark/>
          </w:tcPr>
          <w:p w14:paraId="6E4CC5A9"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nil"/>
              <w:bottom w:val="nil"/>
              <w:right w:val="nil"/>
            </w:tcBorders>
            <w:shd w:val="clear" w:color="auto" w:fill="auto"/>
            <w:noWrap/>
            <w:vAlign w:val="bottom"/>
            <w:hideMark/>
          </w:tcPr>
          <w:p w14:paraId="1247E50D"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268" w:type="dxa"/>
            <w:tcBorders>
              <w:top w:val="nil"/>
              <w:left w:val="nil"/>
              <w:bottom w:val="nil"/>
              <w:right w:val="nil"/>
            </w:tcBorders>
            <w:shd w:val="clear" w:color="auto" w:fill="auto"/>
            <w:noWrap/>
            <w:vAlign w:val="bottom"/>
            <w:hideMark/>
          </w:tcPr>
          <w:p w14:paraId="6B2AD28D"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r>
      <w:tr w:rsidR="001D43E8" w:rsidRPr="00241164" w14:paraId="70E0C66E" w14:textId="77777777" w:rsidTr="001D43E8">
        <w:tc>
          <w:tcPr>
            <w:tcW w:w="3828" w:type="dxa"/>
            <w:tcBorders>
              <w:top w:val="nil"/>
              <w:left w:val="nil"/>
              <w:bottom w:val="nil"/>
              <w:right w:val="nil"/>
            </w:tcBorders>
            <w:shd w:val="clear" w:color="auto" w:fill="auto"/>
            <w:noWrap/>
            <w:vAlign w:val="bottom"/>
            <w:hideMark/>
          </w:tcPr>
          <w:p w14:paraId="745785B1"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1134" w:type="dxa"/>
            <w:tcBorders>
              <w:top w:val="nil"/>
              <w:left w:val="nil"/>
              <w:bottom w:val="nil"/>
              <w:right w:val="nil"/>
            </w:tcBorders>
            <w:shd w:val="clear" w:color="auto" w:fill="auto"/>
            <w:noWrap/>
            <w:vAlign w:val="bottom"/>
            <w:hideMark/>
          </w:tcPr>
          <w:p w14:paraId="5CB0DB06"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nil"/>
              <w:bottom w:val="nil"/>
              <w:right w:val="nil"/>
            </w:tcBorders>
            <w:shd w:val="clear" w:color="auto" w:fill="auto"/>
            <w:noWrap/>
            <w:vAlign w:val="bottom"/>
            <w:hideMark/>
          </w:tcPr>
          <w:p w14:paraId="07CF5B9C"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268" w:type="dxa"/>
            <w:tcBorders>
              <w:top w:val="nil"/>
              <w:left w:val="nil"/>
              <w:bottom w:val="nil"/>
              <w:right w:val="nil"/>
            </w:tcBorders>
            <w:shd w:val="clear" w:color="auto" w:fill="auto"/>
            <w:noWrap/>
            <w:vAlign w:val="bottom"/>
            <w:hideMark/>
          </w:tcPr>
          <w:p w14:paraId="38FA2EC3"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r>
      <w:tr w:rsidR="001D43E8" w:rsidRPr="00241164" w14:paraId="776418C9" w14:textId="77777777" w:rsidTr="001D43E8">
        <w:tc>
          <w:tcPr>
            <w:tcW w:w="3828" w:type="dxa"/>
            <w:tcBorders>
              <w:top w:val="nil"/>
              <w:left w:val="nil"/>
              <w:bottom w:val="nil"/>
              <w:right w:val="nil"/>
            </w:tcBorders>
            <w:shd w:val="clear" w:color="auto" w:fill="auto"/>
            <w:noWrap/>
            <w:vAlign w:val="bottom"/>
            <w:hideMark/>
          </w:tcPr>
          <w:p w14:paraId="7A2950C2"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1134" w:type="dxa"/>
            <w:tcBorders>
              <w:top w:val="nil"/>
              <w:left w:val="nil"/>
              <w:bottom w:val="nil"/>
              <w:right w:val="nil"/>
            </w:tcBorders>
            <w:shd w:val="clear" w:color="auto" w:fill="auto"/>
            <w:noWrap/>
            <w:vAlign w:val="bottom"/>
            <w:hideMark/>
          </w:tcPr>
          <w:p w14:paraId="1E0C2AC6"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nil"/>
              <w:bottom w:val="nil"/>
              <w:right w:val="nil"/>
            </w:tcBorders>
            <w:shd w:val="clear" w:color="auto" w:fill="auto"/>
            <w:noWrap/>
            <w:vAlign w:val="bottom"/>
            <w:hideMark/>
          </w:tcPr>
          <w:p w14:paraId="53D1B0FD"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268" w:type="dxa"/>
            <w:tcBorders>
              <w:top w:val="nil"/>
              <w:left w:val="nil"/>
              <w:bottom w:val="nil"/>
              <w:right w:val="nil"/>
            </w:tcBorders>
            <w:shd w:val="clear" w:color="auto" w:fill="auto"/>
            <w:noWrap/>
            <w:vAlign w:val="bottom"/>
            <w:hideMark/>
          </w:tcPr>
          <w:p w14:paraId="2E7FC98E"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r>
      <w:tr w:rsidR="001D43E8" w:rsidRPr="00241164" w14:paraId="43AE02F1" w14:textId="77777777" w:rsidTr="001D43E8">
        <w:tc>
          <w:tcPr>
            <w:tcW w:w="3828" w:type="dxa"/>
            <w:tcBorders>
              <w:top w:val="nil"/>
              <w:left w:val="nil"/>
              <w:bottom w:val="nil"/>
              <w:right w:val="nil"/>
            </w:tcBorders>
            <w:shd w:val="clear" w:color="auto" w:fill="auto"/>
            <w:noWrap/>
            <w:vAlign w:val="bottom"/>
            <w:hideMark/>
          </w:tcPr>
          <w:p w14:paraId="5617CCCE"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1134" w:type="dxa"/>
            <w:tcBorders>
              <w:top w:val="nil"/>
              <w:left w:val="nil"/>
              <w:bottom w:val="nil"/>
              <w:right w:val="nil"/>
            </w:tcBorders>
            <w:shd w:val="clear" w:color="auto" w:fill="auto"/>
            <w:noWrap/>
            <w:vAlign w:val="bottom"/>
            <w:hideMark/>
          </w:tcPr>
          <w:p w14:paraId="6A18E95A"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1ED3"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Druh pojištění: závazky vyplývající z neživotního pojištění a zajištění (přímé pojištění a přijaté proporcionální zajištění)</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A546B8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Celkem</w:t>
            </w:r>
          </w:p>
        </w:tc>
      </w:tr>
      <w:tr w:rsidR="001D43E8" w:rsidRPr="00241164" w14:paraId="42673D6D" w14:textId="77777777" w:rsidTr="001D43E8">
        <w:tc>
          <w:tcPr>
            <w:tcW w:w="3828" w:type="dxa"/>
            <w:tcBorders>
              <w:top w:val="nil"/>
              <w:left w:val="nil"/>
              <w:bottom w:val="nil"/>
              <w:right w:val="nil"/>
            </w:tcBorders>
            <w:shd w:val="clear" w:color="auto" w:fill="auto"/>
            <w:noWrap/>
            <w:vAlign w:val="bottom"/>
            <w:hideMark/>
          </w:tcPr>
          <w:p w14:paraId="05B3BCC8"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p>
        </w:tc>
        <w:tc>
          <w:tcPr>
            <w:tcW w:w="1134" w:type="dxa"/>
            <w:tcBorders>
              <w:top w:val="nil"/>
              <w:left w:val="nil"/>
              <w:bottom w:val="nil"/>
              <w:right w:val="nil"/>
            </w:tcBorders>
            <w:shd w:val="clear" w:color="auto" w:fill="auto"/>
            <w:noWrap/>
            <w:vAlign w:val="bottom"/>
            <w:hideMark/>
          </w:tcPr>
          <w:p w14:paraId="5B5E0757"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4C87C5"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Pojištění léčebných výloh</w:t>
            </w:r>
          </w:p>
        </w:tc>
        <w:tc>
          <w:tcPr>
            <w:tcW w:w="2268" w:type="dxa"/>
            <w:tcBorders>
              <w:top w:val="nil"/>
              <w:left w:val="nil"/>
              <w:bottom w:val="single" w:sz="4" w:space="0" w:color="auto"/>
              <w:right w:val="single" w:sz="4" w:space="0" w:color="auto"/>
            </w:tcBorders>
            <w:shd w:val="clear" w:color="auto" w:fill="auto"/>
            <w:noWrap/>
            <w:vAlign w:val="bottom"/>
            <w:hideMark/>
          </w:tcPr>
          <w:p w14:paraId="30017160" w14:textId="5AE1CE2A"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1D43E8" w:rsidRPr="00241164" w14:paraId="60FCBAC4" w14:textId="77777777" w:rsidTr="001D43E8">
        <w:tc>
          <w:tcPr>
            <w:tcW w:w="3828" w:type="dxa"/>
            <w:tcBorders>
              <w:top w:val="nil"/>
              <w:left w:val="nil"/>
              <w:bottom w:val="nil"/>
              <w:right w:val="nil"/>
            </w:tcBorders>
            <w:shd w:val="clear" w:color="auto" w:fill="auto"/>
            <w:noWrap/>
            <w:vAlign w:val="bottom"/>
            <w:hideMark/>
          </w:tcPr>
          <w:p w14:paraId="0DAC585D"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p>
        </w:tc>
        <w:tc>
          <w:tcPr>
            <w:tcW w:w="1134" w:type="dxa"/>
            <w:tcBorders>
              <w:top w:val="nil"/>
              <w:left w:val="nil"/>
              <w:bottom w:val="nil"/>
              <w:right w:val="nil"/>
            </w:tcBorders>
            <w:shd w:val="clear" w:color="auto" w:fill="auto"/>
            <w:noWrap/>
            <w:vAlign w:val="bottom"/>
            <w:hideMark/>
          </w:tcPr>
          <w:p w14:paraId="27C6B27E" w14:textId="77777777" w:rsidR="00241164" w:rsidRPr="00241164" w:rsidRDefault="00241164" w:rsidP="00241164">
            <w:pPr>
              <w:spacing w:after="0" w:line="240" w:lineRule="auto"/>
              <w:rPr>
                <w:rFonts w:ascii="Times New Roman" w:eastAsia="Times New Roman" w:hAnsi="Times New Roman" w:cs="Times New Roman"/>
                <w:sz w:val="15"/>
                <w:szCs w:val="15"/>
                <w:lang w:eastAsia="cs-CZ"/>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BA42ED"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C0010</w:t>
            </w:r>
          </w:p>
        </w:tc>
        <w:tc>
          <w:tcPr>
            <w:tcW w:w="2268" w:type="dxa"/>
            <w:tcBorders>
              <w:top w:val="nil"/>
              <w:left w:val="nil"/>
              <w:bottom w:val="single" w:sz="4" w:space="0" w:color="auto"/>
              <w:right w:val="single" w:sz="4" w:space="0" w:color="auto"/>
            </w:tcBorders>
            <w:shd w:val="clear" w:color="auto" w:fill="auto"/>
            <w:noWrap/>
            <w:vAlign w:val="bottom"/>
            <w:hideMark/>
          </w:tcPr>
          <w:p w14:paraId="60A62595"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C0200</w:t>
            </w:r>
          </w:p>
        </w:tc>
      </w:tr>
      <w:tr w:rsidR="0066315B" w:rsidRPr="00241164" w14:paraId="1CBC36E4" w14:textId="77777777" w:rsidTr="001D43E8">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D1C9"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Předepsané pojistné</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9DEB07"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054E51AD" w14:textId="23AF10C1"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289FFD11" w14:textId="0E227A6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58164DB9"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B9287C4"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3F6F5A39"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R0110</w:t>
            </w:r>
          </w:p>
        </w:tc>
        <w:tc>
          <w:tcPr>
            <w:tcW w:w="2835" w:type="dxa"/>
            <w:tcBorders>
              <w:top w:val="nil"/>
              <w:left w:val="nil"/>
              <w:bottom w:val="single" w:sz="4" w:space="0" w:color="auto"/>
              <w:right w:val="single" w:sz="4" w:space="0" w:color="auto"/>
            </w:tcBorders>
            <w:shd w:val="clear" w:color="000000" w:fill="FFFFFF"/>
            <w:noWrap/>
            <w:vAlign w:val="bottom"/>
            <w:hideMark/>
          </w:tcPr>
          <w:p w14:paraId="2DE5057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21 709 122</w:t>
            </w:r>
          </w:p>
        </w:tc>
        <w:tc>
          <w:tcPr>
            <w:tcW w:w="2268" w:type="dxa"/>
            <w:tcBorders>
              <w:top w:val="nil"/>
              <w:left w:val="nil"/>
              <w:bottom w:val="single" w:sz="4" w:space="0" w:color="auto"/>
              <w:right w:val="single" w:sz="4" w:space="0" w:color="auto"/>
            </w:tcBorders>
            <w:shd w:val="clear" w:color="000000" w:fill="FFFFFF"/>
            <w:noWrap/>
            <w:vAlign w:val="bottom"/>
            <w:hideMark/>
          </w:tcPr>
          <w:p w14:paraId="460F6804"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21 709 122</w:t>
            </w:r>
          </w:p>
        </w:tc>
      </w:tr>
      <w:tr w:rsidR="0066315B" w:rsidRPr="00241164" w14:paraId="27BA3880"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AB09E1A"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4AE3ADE"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R0120</w:t>
            </w:r>
          </w:p>
        </w:tc>
        <w:tc>
          <w:tcPr>
            <w:tcW w:w="2835" w:type="dxa"/>
            <w:tcBorders>
              <w:top w:val="nil"/>
              <w:left w:val="nil"/>
              <w:bottom w:val="single" w:sz="4" w:space="0" w:color="auto"/>
              <w:right w:val="single" w:sz="4" w:space="0" w:color="auto"/>
            </w:tcBorders>
            <w:shd w:val="clear" w:color="000000" w:fill="FFFFFF"/>
            <w:noWrap/>
            <w:vAlign w:val="bottom"/>
            <w:hideMark/>
          </w:tcPr>
          <w:p w14:paraId="7B150DF1" w14:textId="5BBDB2E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71C4D8B3" w14:textId="178535B1"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63F06F62"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E164883"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27E8A468"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R0130</w:t>
            </w:r>
          </w:p>
        </w:tc>
        <w:tc>
          <w:tcPr>
            <w:tcW w:w="2835" w:type="dxa"/>
            <w:tcBorders>
              <w:top w:val="nil"/>
              <w:left w:val="nil"/>
              <w:bottom w:val="single" w:sz="4" w:space="0" w:color="auto"/>
              <w:right w:val="single" w:sz="4" w:space="0" w:color="auto"/>
            </w:tcBorders>
            <w:shd w:val="clear" w:color="000000" w:fill="BFBFBF"/>
            <w:noWrap/>
            <w:vAlign w:val="bottom"/>
            <w:hideMark/>
          </w:tcPr>
          <w:p w14:paraId="22F7E2F4" w14:textId="6C697EB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ACA74D2" w14:textId="26304F1D"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313407FA"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9EDED4D"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57B56FA0"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R0140</w:t>
            </w:r>
          </w:p>
        </w:tc>
        <w:tc>
          <w:tcPr>
            <w:tcW w:w="2835" w:type="dxa"/>
            <w:tcBorders>
              <w:top w:val="nil"/>
              <w:left w:val="nil"/>
              <w:bottom w:val="single" w:sz="4" w:space="0" w:color="auto"/>
              <w:right w:val="single" w:sz="4" w:space="0" w:color="auto"/>
            </w:tcBorders>
            <w:shd w:val="clear" w:color="000000" w:fill="FFFFFF"/>
            <w:noWrap/>
            <w:vAlign w:val="bottom"/>
            <w:hideMark/>
          </w:tcPr>
          <w:p w14:paraId="66881FFE"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1 604 040</w:t>
            </w:r>
          </w:p>
        </w:tc>
        <w:tc>
          <w:tcPr>
            <w:tcW w:w="2268" w:type="dxa"/>
            <w:tcBorders>
              <w:top w:val="nil"/>
              <w:left w:val="nil"/>
              <w:bottom w:val="single" w:sz="4" w:space="0" w:color="auto"/>
              <w:right w:val="single" w:sz="4" w:space="0" w:color="auto"/>
            </w:tcBorders>
            <w:shd w:val="clear" w:color="000000" w:fill="FFFFFF"/>
            <w:noWrap/>
            <w:vAlign w:val="bottom"/>
            <w:hideMark/>
          </w:tcPr>
          <w:p w14:paraId="0F404F6F"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1 604 040</w:t>
            </w:r>
          </w:p>
        </w:tc>
      </w:tr>
      <w:tr w:rsidR="0066315B" w:rsidRPr="00241164" w14:paraId="0CEFC6D3"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422D391"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371B4209"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R0200</w:t>
            </w:r>
          </w:p>
        </w:tc>
        <w:tc>
          <w:tcPr>
            <w:tcW w:w="2835" w:type="dxa"/>
            <w:tcBorders>
              <w:top w:val="nil"/>
              <w:left w:val="nil"/>
              <w:bottom w:val="single" w:sz="4" w:space="0" w:color="auto"/>
              <w:right w:val="single" w:sz="4" w:space="0" w:color="auto"/>
            </w:tcBorders>
            <w:shd w:val="clear" w:color="000000" w:fill="FFFFFF"/>
            <w:noWrap/>
            <w:vAlign w:val="bottom"/>
            <w:hideMark/>
          </w:tcPr>
          <w:p w14:paraId="2BC11D60"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20 105 082</w:t>
            </w:r>
          </w:p>
        </w:tc>
        <w:tc>
          <w:tcPr>
            <w:tcW w:w="2268" w:type="dxa"/>
            <w:tcBorders>
              <w:top w:val="nil"/>
              <w:left w:val="nil"/>
              <w:bottom w:val="single" w:sz="4" w:space="0" w:color="auto"/>
              <w:right w:val="single" w:sz="4" w:space="0" w:color="auto"/>
            </w:tcBorders>
            <w:shd w:val="clear" w:color="000000" w:fill="FFFFFF"/>
            <w:noWrap/>
            <w:vAlign w:val="bottom"/>
            <w:hideMark/>
          </w:tcPr>
          <w:p w14:paraId="2A90B801"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20 105 082</w:t>
            </w:r>
          </w:p>
        </w:tc>
      </w:tr>
      <w:tr w:rsidR="0066315B" w:rsidRPr="00241164" w14:paraId="04D8AADB"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5AB3290"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Zasloužené pojistné</w:t>
            </w:r>
          </w:p>
        </w:tc>
        <w:tc>
          <w:tcPr>
            <w:tcW w:w="1134" w:type="dxa"/>
            <w:tcBorders>
              <w:top w:val="nil"/>
              <w:left w:val="nil"/>
              <w:bottom w:val="single" w:sz="4" w:space="0" w:color="auto"/>
              <w:right w:val="single" w:sz="4" w:space="0" w:color="auto"/>
            </w:tcBorders>
            <w:shd w:val="clear" w:color="auto" w:fill="auto"/>
            <w:noWrap/>
            <w:vAlign w:val="bottom"/>
            <w:hideMark/>
          </w:tcPr>
          <w:p w14:paraId="73BFBB11"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1D786594" w14:textId="2657CA6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2EDD8F8C" w14:textId="10FC941B"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5993AAB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71F417E"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55203F83"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R0210</w:t>
            </w:r>
          </w:p>
        </w:tc>
        <w:tc>
          <w:tcPr>
            <w:tcW w:w="2835" w:type="dxa"/>
            <w:tcBorders>
              <w:top w:val="nil"/>
              <w:left w:val="nil"/>
              <w:bottom w:val="single" w:sz="4" w:space="0" w:color="auto"/>
              <w:right w:val="single" w:sz="4" w:space="0" w:color="auto"/>
            </w:tcBorders>
            <w:shd w:val="clear" w:color="000000" w:fill="FFFFFF"/>
            <w:noWrap/>
            <w:vAlign w:val="bottom"/>
            <w:hideMark/>
          </w:tcPr>
          <w:p w14:paraId="51315C08"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21 902 740</w:t>
            </w:r>
          </w:p>
        </w:tc>
        <w:tc>
          <w:tcPr>
            <w:tcW w:w="2268" w:type="dxa"/>
            <w:tcBorders>
              <w:top w:val="nil"/>
              <w:left w:val="nil"/>
              <w:bottom w:val="single" w:sz="4" w:space="0" w:color="auto"/>
              <w:right w:val="single" w:sz="4" w:space="0" w:color="auto"/>
            </w:tcBorders>
            <w:shd w:val="clear" w:color="000000" w:fill="FFFFFF"/>
            <w:noWrap/>
            <w:vAlign w:val="bottom"/>
            <w:hideMark/>
          </w:tcPr>
          <w:p w14:paraId="6DA477C5"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21 902 740</w:t>
            </w:r>
          </w:p>
        </w:tc>
      </w:tr>
      <w:tr w:rsidR="0066315B" w:rsidRPr="00241164" w14:paraId="38CC1842"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109FD57"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47489C91"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R0220</w:t>
            </w:r>
          </w:p>
        </w:tc>
        <w:tc>
          <w:tcPr>
            <w:tcW w:w="2835" w:type="dxa"/>
            <w:tcBorders>
              <w:top w:val="nil"/>
              <w:left w:val="nil"/>
              <w:bottom w:val="single" w:sz="4" w:space="0" w:color="auto"/>
              <w:right w:val="single" w:sz="4" w:space="0" w:color="auto"/>
            </w:tcBorders>
            <w:shd w:val="clear" w:color="000000" w:fill="FFFFFF"/>
            <w:noWrap/>
            <w:vAlign w:val="bottom"/>
            <w:hideMark/>
          </w:tcPr>
          <w:p w14:paraId="47AB35BA" w14:textId="44CA9C9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0E38EC40" w14:textId="2BE6ED7B"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4114064F"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8CB80FC"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021FF155"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R0230</w:t>
            </w:r>
          </w:p>
        </w:tc>
        <w:tc>
          <w:tcPr>
            <w:tcW w:w="2835" w:type="dxa"/>
            <w:tcBorders>
              <w:top w:val="nil"/>
              <w:left w:val="nil"/>
              <w:bottom w:val="single" w:sz="4" w:space="0" w:color="auto"/>
              <w:right w:val="single" w:sz="4" w:space="0" w:color="auto"/>
            </w:tcBorders>
            <w:shd w:val="clear" w:color="000000" w:fill="BFBFBF"/>
            <w:noWrap/>
            <w:vAlign w:val="bottom"/>
            <w:hideMark/>
          </w:tcPr>
          <w:p w14:paraId="1E79FCAF" w14:textId="5531553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8DF7EE6" w14:textId="609FB88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6EB632D6"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842ECDA"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7A852D1A"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R0240</w:t>
            </w:r>
          </w:p>
        </w:tc>
        <w:tc>
          <w:tcPr>
            <w:tcW w:w="2835" w:type="dxa"/>
            <w:tcBorders>
              <w:top w:val="nil"/>
              <w:left w:val="nil"/>
              <w:bottom w:val="single" w:sz="4" w:space="0" w:color="auto"/>
              <w:right w:val="single" w:sz="4" w:space="0" w:color="auto"/>
            </w:tcBorders>
            <w:shd w:val="clear" w:color="000000" w:fill="FFFFFF"/>
            <w:noWrap/>
            <w:vAlign w:val="bottom"/>
            <w:hideMark/>
          </w:tcPr>
          <w:p w14:paraId="62202A5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1 597 542</w:t>
            </w:r>
          </w:p>
        </w:tc>
        <w:tc>
          <w:tcPr>
            <w:tcW w:w="2268" w:type="dxa"/>
            <w:tcBorders>
              <w:top w:val="nil"/>
              <w:left w:val="nil"/>
              <w:bottom w:val="single" w:sz="4" w:space="0" w:color="auto"/>
              <w:right w:val="single" w:sz="4" w:space="0" w:color="auto"/>
            </w:tcBorders>
            <w:shd w:val="clear" w:color="000000" w:fill="FFFFFF"/>
            <w:noWrap/>
            <w:vAlign w:val="bottom"/>
            <w:hideMark/>
          </w:tcPr>
          <w:p w14:paraId="07053B0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1 597 542</w:t>
            </w:r>
          </w:p>
        </w:tc>
      </w:tr>
      <w:tr w:rsidR="0066315B" w:rsidRPr="00241164" w14:paraId="509ECD24"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EC93DE4"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6958414C"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R0300</w:t>
            </w:r>
          </w:p>
        </w:tc>
        <w:tc>
          <w:tcPr>
            <w:tcW w:w="2835" w:type="dxa"/>
            <w:tcBorders>
              <w:top w:val="nil"/>
              <w:left w:val="nil"/>
              <w:bottom w:val="single" w:sz="4" w:space="0" w:color="auto"/>
              <w:right w:val="single" w:sz="4" w:space="0" w:color="auto"/>
            </w:tcBorders>
            <w:shd w:val="clear" w:color="000000" w:fill="FFFFFF"/>
            <w:noWrap/>
            <w:vAlign w:val="bottom"/>
            <w:hideMark/>
          </w:tcPr>
          <w:p w14:paraId="79CDE8E8"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20 305 198</w:t>
            </w:r>
          </w:p>
        </w:tc>
        <w:tc>
          <w:tcPr>
            <w:tcW w:w="2268" w:type="dxa"/>
            <w:tcBorders>
              <w:top w:val="nil"/>
              <w:left w:val="nil"/>
              <w:bottom w:val="single" w:sz="4" w:space="0" w:color="auto"/>
              <w:right w:val="single" w:sz="4" w:space="0" w:color="auto"/>
            </w:tcBorders>
            <w:shd w:val="clear" w:color="000000" w:fill="FFFFFF"/>
            <w:noWrap/>
            <w:vAlign w:val="bottom"/>
            <w:hideMark/>
          </w:tcPr>
          <w:p w14:paraId="6B6D067D"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20 305 198</w:t>
            </w:r>
          </w:p>
        </w:tc>
      </w:tr>
      <w:tr w:rsidR="0066315B" w:rsidRPr="00241164" w14:paraId="4521E20E"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730AEEC"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Náklady na pojistná plnění</w:t>
            </w:r>
          </w:p>
        </w:tc>
        <w:tc>
          <w:tcPr>
            <w:tcW w:w="1134" w:type="dxa"/>
            <w:tcBorders>
              <w:top w:val="nil"/>
              <w:left w:val="nil"/>
              <w:bottom w:val="single" w:sz="4" w:space="0" w:color="auto"/>
              <w:right w:val="single" w:sz="4" w:space="0" w:color="auto"/>
            </w:tcBorders>
            <w:shd w:val="clear" w:color="auto" w:fill="auto"/>
            <w:noWrap/>
            <w:vAlign w:val="bottom"/>
            <w:hideMark/>
          </w:tcPr>
          <w:p w14:paraId="21B39390"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0130D0A9" w14:textId="6A783704"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48C19299" w14:textId="20E371F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35ACE2A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FEA1CA9"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35A569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R0310</w:t>
            </w:r>
          </w:p>
        </w:tc>
        <w:tc>
          <w:tcPr>
            <w:tcW w:w="2835" w:type="dxa"/>
            <w:tcBorders>
              <w:top w:val="nil"/>
              <w:left w:val="nil"/>
              <w:bottom w:val="single" w:sz="4" w:space="0" w:color="auto"/>
              <w:right w:val="single" w:sz="4" w:space="0" w:color="auto"/>
            </w:tcBorders>
            <w:shd w:val="clear" w:color="000000" w:fill="FFFFFF"/>
            <w:noWrap/>
            <w:vAlign w:val="bottom"/>
            <w:hideMark/>
          </w:tcPr>
          <w:p w14:paraId="0BB98900"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2 662 393</w:t>
            </w:r>
          </w:p>
        </w:tc>
        <w:tc>
          <w:tcPr>
            <w:tcW w:w="2268" w:type="dxa"/>
            <w:tcBorders>
              <w:top w:val="nil"/>
              <w:left w:val="nil"/>
              <w:bottom w:val="single" w:sz="4" w:space="0" w:color="auto"/>
              <w:right w:val="single" w:sz="4" w:space="0" w:color="auto"/>
            </w:tcBorders>
            <w:shd w:val="clear" w:color="000000" w:fill="FFFFFF"/>
            <w:noWrap/>
            <w:vAlign w:val="bottom"/>
            <w:hideMark/>
          </w:tcPr>
          <w:p w14:paraId="67C96ECF"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2 662 393</w:t>
            </w:r>
          </w:p>
        </w:tc>
      </w:tr>
      <w:tr w:rsidR="0066315B" w:rsidRPr="00241164" w14:paraId="4A50183C"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480DAC4"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E557BD4"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R0320</w:t>
            </w:r>
          </w:p>
        </w:tc>
        <w:tc>
          <w:tcPr>
            <w:tcW w:w="2835" w:type="dxa"/>
            <w:tcBorders>
              <w:top w:val="nil"/>
              <w:left w:val="nil"/>
              <w:bottom w:val="single" w:sz="4" w:space="0" w:color="auto"/>
              <w:right w:val="single" w:sz="4" w:space="0" w:color="auto"/>
            </w:tcBorders>
            <w:shd w:val="clear" w:color="000000" w:fill="FFFFFF"/>
            <w:noWrap/>
            <w:vAlign w:val="bottom"/>
            <w:hideMark/>
          </w:tcPr>
          <w:p w14:paraId="507C39B3" w14:textId="5097DE95"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8BE5F05" w14:textId="6D42C96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4DBD44D6"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DBE9254"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300AD3C"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R0330</w:t>
            </w:r>
          </w:p>
        </w:tc>
        <w:tc>
          <w:tcPr>
            <w:tcW w:w="2835" w:type="dxa"/>
            <w:tcBorders>
              <w:top w:val="nil"/>
              <w:left w:val="nil"/>
              <w:bottom w:val="single" w:sz="4" w:space="0" w:color="auto"/>
              <w:right w:val="single" w:sz="4" w:space="0" w:color="auto"/>
            </w:tcBorders>
            <w:shd w:val="clear" w:color="000000" w:fill="BFBFBF"/>
            <w:noWrap/>
            <w:vAlign w:val="bottom"/>
            <w:hideMark/>
          </w:tcPr>
          <w:p w14:paraId="1C028F12" w14:textId="36355500"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93768D4" w14:textId="370AC016"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A02C41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106ABF1"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27FF3377"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R0340</w:t>
            </w:r>
          </w:p>
        </w:tc>
        <w:tc>
          <w:tcPr>
            <w:tcW w:w="2835" w:type="dxa"/>
            <w:tcBorders>
              <w:top w:val="nil"/>
              <w:left w:val="nil"/>
              <w:bottom w:val="single" w:sz="4" w:space="0" w:color="auto"/>
              <w:right w:val="single" w:sz="4" w:space="0" w:color="auto"/>
            </w:tcBorders>
            <w:shd w:val="clear" w:color="000000" w:fill="FFFFFF"/>
            <w:noWrap/>
            <w:vAlign w:val="bottom"/>
            <w:hideMark/>
          </w:tcPr>
          <w:p w14:paraId="046619E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2 667 090</w:t>
            </w:r>
          </w:p>
        </w:tc>
        <w:tc>
          <w:tcPr>
            <w:tcW w:w="2268" w:type="dxa"/>
            <w:tcBorders>
              <w:top w:val="nil"/>
              <w:left w:val="nil"/>
              <w:bottom w:val="single" w:sz="4" w:space="0" w:color="auto"/>
              <w:right w:val="single" w:sz="4" w:space="0" w:color="auto"/>
            </w:tcBorders>
            <w:shd w:val="clear" w:color="000000" w:fill="FFFFFF"/>
            <w:noWrap/>
            <w:vAlign w:val="bottom"/>
            <w:hideMark/>
          </w:tcPr>
          <w:p w14:paraId="5BFC52D6"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2 667 090</w:t>
            </w:r>
          </w:p>
        </w:tc>
      </w:tr>
      <w:tr w:rsidR="0066315B" w:rsidRPr="00241164" w14:paraId="6CFC2FDE"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72A8DB6"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168B5EA7"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R0400</w:t>
            </w:r>
          </w:p>
        </w:tc>
        <w:tc>
          <w:tcPr>
            <w:tcW w:w="2835" w:type="dxa"/>
            <w:tcBorders>
              <w:top w:val="nil"/>
              <w:left w:val="nil"/>
              <w:bottom w:val="single" w:sz="4" w:space="0" w:color="auto"/>
              <w:right w:val="single" w:sz="4" w:space="0" w:color="auto"/>
            </w:tcBorders>
            <w:shd w:val="clear" w:color="000000" w:fill="FFFFFF"/>
            <w:noWrap/>
            <w:vAlign w:val="bottom"/>
            <w:hideMark/>
          </w:tcPr>
          <w:p w14:paraId="7BBAF6D8"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-4 698</w:t>
            </w:r>
          </w:p>
        </w:tc>
        <w:tc>
          <w:tcPr>
            <w:tcW w:w="2268" w:type="dxa"/>
            <w:tcBorders>
              <w:top w:val="nil"/>
              <w:left w:val="nil"/>
              <w:bottom w:val="single" w:sz="4" w:space="0" w:color="auto"/>
              <w:right w:val="single" w:sz="4" w:space="0" w:color="auto"/>
            </w:tcBorders>
            <w:shd w:val="clear" w:color="000000" w:fill="FFFFFF"/>
            <w:noWrap/>
            <w:vAlign w:val="bottom"/>
            <w:hideMark/>
          </w:tcPr>
          <w:p w14:paraId="4E9CB5ED"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-4 698</w:t>
            </w:r>
          </w:p>
        </w:tc>
      </w:tr>
      <w:tr w:rsidR="0066315B" w:rsidRPr="00241164" w14:paraId="4AE3EA0C"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1C551A2"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Změny v ostatních technických rezervách</w:t>
            </w:r>
          </w:p>
        </w:tc>
        <w:tc>
          <w:tcPr>
            <w:tcW w:w="1134" w:type="dxa"/>
            <w:tcBorders>
              <w:top w:val="nil"/>
              <w:left w:val="nil"/>
              <w:bottom w:val="single" w:sz="4" w:space="0" w:color="auto"/>
              <w:right w:val="single" w:sz="4" w:space="0" w:color="auto"/>
            </w:tcBorders>
            <w:shd w:val="clear" w:color="auto" w:fill="auto"/>
            <w:noWrap/>
            <w:vAlign w:val="bottom"/>
            <w:hideMark/>
          </w:tcPr>
          <w:p w14:paraId="29D9829A"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1874241E" w14:textId="3277D2BA"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3A9A4207" w14:textId="39DBEF08"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6B3E5EA9"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496B098"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44016FB7"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R0410</w:t>
            </w:r>
          </w:p>
        </w:tc>
        <w:tc>
          <w:tcPr>
            <w:tcW w:w="2835" w:type="dxa"/>
            <w:tcBorders>
              <w:top w:val="nil"/>
              <w:left w:val="nil"/>
              <w:bottom w:val="single" w:sz="4" w:space="0" w:color="auto"/>
              <w:right w:val="single" w:sz="4" w:space="0" w:color="auto"/>
            </w:tcBorders>
            <w:shd w:val="clear" w:color="000000" w:fill="FFFFFF"/>
            <w:noWrap/>
            <w:vAlign w:val="bottom"/>
            <w:hideMark/>
          </w:tcPr>
          <w:p w14:paraId="062797AD" w14:textId="456DC7F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37F2734F" w14:textId="1F9E3D0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1BFD34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2C265BD"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06C5F6AE"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R0420</w:t>
            </w:r>
          </w:p>
        </w:tc>
        <w:tc>
          <w:tcPr>
            <w:tcW w:w="2835" w:type="dxa"/>
            <w:tcBorders>
              <w:top w:val="nil"/>
              <w:left w:val="nil"/>
              <w:bottom w:val="single" w:sz="4" w:space="0" w:color="auto"/>
              <w:right w:val="single" w:sz="4" w:space="0" w:color="auto"/>
            </w:tcBorders>
            <w:shd w:val="clear" w:color="000000" w:fill="FFFFFF"/>
            <w:noWrap/>
            <w:vAlign w:val="bottom"/>
            <w:hideMark/>
          </w:tcPr>
          <w:p w14:paraId="73951DB7" w14:textId="14991D80"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3AA1F1A3" w14:textId="510D820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6738B0A4"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71A300D"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72B23EF5"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R0430</w:t>
            </w:r>
          </w:p>
        </w:tc>
        <w:tc>
          <w:tcPr>
            <w:tcW w:w="2835" w:type="dxa"/>
            <w:tcBorders>
              <w:top w:val="nil"/>
              <w:left w:val="nil"/>
              <w:bottom w:val="single" w:sz="4" w:space="0" w:color="auto"/>
              <w:right w:val="single" w:sz="4" w:space="0" w:color="auto"/>
            </w:tcBorders>
            <w:shd w:val="clear" w:color="000000" w:fill="BFBFBF"/>
            <w:noWrap/>
            <w:vAlign w:val="bottom"/>
            <w:hideMark/>
          </w:tcPr>
          <w:p w14:paraId="3B262DD9" w14:textId="0E4322AA"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2B9A696" w14:textId="4095837D"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31294D3"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4DD6FDA"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3E18C3BB"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R0440</w:t>
            </w:r>
          </w:p>
        </w:tc>
        <w:tc>
          <w:tcPr>
            <w:tcW w:w="2835" w:type="dxa"/>
            <w:tcBorders>
              <w:top w:val="nil"/>
              <w:left w:val="nil"/>
              <w:bottom w:val="single" w:sz="4" w:space="0" w:color="auto"/>
              <w:right w:val="single" w:sz="4" w:space="0" w:color="auto"/>
            </w:tcBorders>
            <w:shd w:val="clear" w:color="000000" w:fill="FFFFFF"/>
            <w:noWrap/>
            <w:vAlign w:val="bottom"/>
            <w:hideMark/>
          </w:tcPr>
          <w:p w14:paraId="5719A5FD" w14:textId="42E220E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0E01B893" w14:textId="7816587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59BBF6DF"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AE4500D"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13DFBDB2"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R0500</w:t>
            </w:r>
          </w:p>
        </w:tc>
        <w:tc>
          <w:tcPr>
            <w:tcW w:w="2835" w:type="dxa"/>
            <w:tcBorders>
              <w:top w:val="nil"/>
              <w:left w:val="nil"/>
              <w:bottom w:val="single" w:sz="4" w:space="0" w:color="auto"/>
              <w:right w:val="single" w:sz="4" w:space="0" w:color="auto"/>
            </w:tcBorders>
            <w:shd w:val="clear" w:color="000000" w:fill="FFFFFF"/>
            <w:noWrap/>
            <w:vAlign w:val="bottom"/>
            <w:hideMark/>
          </w:tcPr>
          <w:p w14:paraId="097D0745" w14:textId="0C4C15A3"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C8C9EFC" w14:textId="5DE6CA61"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387C2648"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AFAB43D"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Vzniklé náklady</w:t>
            </w:r>
          </w:p>
        </w:tc>
        <w:tc>
          <w:tcPr>
            <w:tcW w:w="1134" w:type="dxa"/>
            <w:tcBorders>
              <w:top w:val="nil"/>
              <w:left w:val="nil"/>
              <w:bottom w:val="single" w:sz="4" w:space="0" w:color="auto"/>
              <w:right w:val="single" w:sz="4" w:space="0" w:color="auto"/>
            </w:tcBorders>
            <w:shd w:val="clear" w:color="auto" w:fill="auto"/>
            <w:noWrap/>
            <w:vAlign w:val="bottom"/>
            <w:hideMark/>
          </w:tcPr>
          <w:p w14:paraId="1EE138DE"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R0550</w:t>
            </w:r>
          </w:p>
        </w:tc>
        <w:tc>
          <w:tcPr>
            <w:tcW w:w="2835" w:type="dxa"/>
            <w:tcBorders>
              <w:top w:val="nil"/>
              <w:left w:val="nil"/>
              <w:bottom w:val="single" w:sz="4" w:space="0" w:color="auto"/>
              <w:right w:val="single" w:sz="4" w:space="0" w:color="auto"/>
            </w:tcBorders>
            <w:shd w:val="clear" w:color="000000" w:fill="FFFFFF"/>
            <w:noWrap/>
            <w:vAlign w:val="bottom"/>
            <w:hideMark/>
          </w:tcPr>
          <w:p w14:paraId="414F52AC"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42 941 281</w:t>
            </w:r>
          </w:p>
        </w:tc>
        <w:tc>
          <w:tcPr>
            <w:tcW w:w="2268" w:type="dxa"/>
            <w:tcBorders>
              <w:top w:val="nil"/>
              <w:left w:val="nil"/>
              <w:bottom w:val="single" w:sz="4" w:space="0" w:color="auto"/>
              <w:right w:val="single" w:sz="4" w:space="0" w:color="auto"/>
            </w:tcBorders>
            <w:shd w:val="clear" w:color="000000" w:fill="FFFFFF"/>
            <w:noWrap/>
            <w:vAlign w:val="bottom"/>
            <w:hideMark/>
          </w:tcPr>
          <w:p w14:paraId="1B2368E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42 941 281</w:t>
            </w:r>
          </w:p>
        </w:tc>
      </w:tr>
      <w:tr w:rsidR="0066315B" w:rsidRPr="00241164" w14:paraId="5740976A"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DD5731F"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Správní náklady</w:t>
            </w:r>
          </w:p>
        </w:tc>
        <w:tc>
          <w:tcPr>
            <w:tcW w:w="1134" w:type="dxa"/>
            <w:tcBorders>
              <w:top w:val="nil"/>
              <w:left w:val="nil"/>
              <w:bottom w:val="single" w:sz="4" w:space="0" w:color="auto"/>
              <w:right w:val="single" w:sz="4" w:space="0" w:color="auto"/>
            </w:tcBorders>
            <w:shd w:val="clear" w:color="auto" w:fill="auto"/>
            <w:noWrap/>
            <w:vAlign w:val="bottom"/>
            <w:hideMark/>
          </w:tcPr>
          <w:p w14:paraId="50AE335E"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45F58573" w14:textId="79EEE5F8"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770D609E" w14:textId="5CF94929"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E5E100E"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3FDADD3"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6025C36"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R0610</w:t>
            </w:r>
          </w:p>
        </w:tc>
        <w:tc>
          <w:tcPr>
            <w:tcW w:w="2835" w:type="dxa"/>
            <w:tcBorders>
              <w:top w:val="nil"/>
              <w:left w:val="nil"/>
              <w:bottom w:val="single" w:sz="4" w:space="0" w:color="auto"/>
              <w:right w:val="single" w:sz="4" w:space="0" w:color="auto"/>
            </w:tcBorders>
            <w:shd w:val="clear" w:color="000000" w:fill="FFFFFF"/>
            <w:noWrap/>
            <w:vAlign w:val="bottom"/>
            <w:hideMark/>
          </w:tcPr>
          <w:p w14:paraId="73982DF3"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18 568 555</w:t>
            </w:r>
          </w:p>
        </w:tc>
        <w:tc>
          <w:tcPr>
            <w:tcW w:w="2268" w:type="dxa"/>
            <w:tcBorders>
              <w:top w:val="nil"/>
              <w:left w:val="nil"/>
              <w:bottom w:val="single" w:sz="4" w:space="0" w:color="auto"/>
              <w:right w:val="single" w:sz="4" w:space="0" w:color="auto"/>
            </w:tcBorders>
            <w:shd w:val="clear" w:color="000000" w:fill="FFFFFF"/>
            <w:noWrap/>
            <w:vAlign w:val="bottom"/>
            <w:hideMark/>
          </w:tcPr>
          <w:p w14:paraId="3027B52B"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18 568 555</w:t>
            </w:r>
          </w:p>
        </w:tc>
      </w:tr>
      <w:tr w:rsidR="0066315B" w:rsidRPr="00241164" w14:paraId="61D3BC0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99AD654"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441D4E6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R0620</w:t>
            </w:r>
          </w:p>
        </w:tc>
        <w:tc>
          <w:tcPr>
            <w:tcW w:w="2835" w:type="dxa"/>
            <w:tcBorders>
              <w:top w:val="nil"/>
              <w:left w:val="nil"/>
              <w:bottom w:val="single" w:sz="4" w:space="0" w:color="auto"/>
              <w:right w:val="single" w:sz="4" w:space="0" w:color="auto"/>
            </w:tcBorders>
            <w:shd w:val="clear" w:color="000000" w:fill="FFFFFF"/>
            <w:noWrap/>
            <w:vAlign w:val="bottom"/>
            <w:hideMark/>
          </w:tcPr>
          <w:p w14:paraId="33567374" w14:textId="6278A3A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6980A67" w14:textId="492B1DE0"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C84920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2E22620"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08DD6694"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R0630</w:t>
            </w:r>
          </w:p>
        </w:tc>
        <w:tc>
          <w:tcPr>
            <w:tcW w:w="2835" w:type="dxa"/>
            <w:tcBorders>
              <w:top w:val="nil"/>
              <w:left w:val="nil"/>
              <w:bottom w:val="single" w:sz="4" w:space="0" w:color="auto"/>
              <w:right w:val="single" w:sz="4" w:space="0" w:color="auto"/>
            </w:tcBorders>
            <w:shd w:val="clear" w:color="000000" w:fill="BFBFBF"/>
            <w:noWrap/>
            <w:vAlign w:val="bottom"/>
            <w:hideMark/>
          </w:tcPr>
          <w:p w14:paraId="30B50426" w14:textId="1625FCE9"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B6CEB1D" w14:textId="4A6424A6"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9B1650B"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4E3C062"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40584A44"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R0640</w:t>
            </w:r>
          </w:p>
        </w:tc>
        <w:tc>
          <w:tcPr>
            <w:tcW w:w="2835" w:type="dxa"/>
            <w:tcBorders>
              <w:top w:val="nil"/>
              <w:left w:val="nil"/>
              <w:bottom w:val="single" w:sz="4" w:space="0" w:color="auto"/>
              <w:right w:val="single" w:sz="4" w:space="0" w:color="auto"/>
            </w:tcBorders>
            <w:shd w:val="clear" w:color="000000" w:fill="FFFFFF"/>
            <w:noWrap/>
            <w:vAlign w:val="bottom"/>
            <w:hideMark/>
          </w:tcPr>
          <w:p w14:paraId="1625E44E" w14:textId="7EDEE25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6B43065" w14:textId="479F503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15187608"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57DFC02"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7D39CE96"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R0700</w:t>
            </w:r>
          </w:p>
        </w:tc>
        <w:tc>
          <w:tcPr>
            <w:tcW w:w="2835" w:type="dxa"/>
            <w:tcBorders>
              <w:top w:val="nil"/>
              <w:left w:val="nil"/>
              <w:bottom w:val="single" w:sz="4" w:space="0" w:color="auto"/>
              <w:right w:val="single" w:sz="4" w:space="0" w:color="auto"/>
            </w:tcBorders>
            <w:shd w:val="clear" w:color="000000" w:fill="FFFFFF"/>
            <w:noWrap/>
            <w:vAlign w:val="bottom"/>
            <w:hideMark/>
          </w:tcPr>
          <w:p w14:paraId="2DB7460E"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18 568 555</w:t>
            </w:r>
          </w:p>
        </w:tc>
        <w:tc>
          <w:tcPr>
            <w:tcW w:w="2268" w:type="dxa"/>
            <w:tcBorders>
              <w:top w:val="nil"/>
              <w:left w:val="nil"/>
              <w:bottom w:val="single" w:sz="4" w:space="0" w:color="auto"/>
              <w:right w:val="single" w:sz="4" w:space="0" w:color="auto"/>
            </w:tcBorders>
            <w:shd w:val="clear" w:color="000000" w:fill="FFFFFF"/>
            <w:noWrap/>
            <w:vAlign w:val="bottom"/>
            <w:hideMark/>
          </w:tcPr>
          <w:p w14:paraId="6B0760C6"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18 568 555</w:t>
            </w:r>
          </w:p>
        </w:tc>
      </w:tr>
      <w:tr w:rsidR="0066315B" w:rsidRPr="00241164" w14:paraId="5F438F14"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674CC2C"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Náklady na správu investic</w:t>
            </w:r>
          </w:p>
        </w:tc>
        <w:tc>
          <w:tcPr>
            <w:tcW w:w="1134" w:type="dxa"/>
            <w:tcBorders>
              <w:top w:val="nil"/>
              <w:left w:val="nil"/>
              <w:bottom w:val="single" w:sz="4" w:space="0" w:color="auto"/>
              <w:right w:val="single" w:sz="4" w:space="0" w:color="auto"/>
            </w:tcBorders>
            <w:shd w:val="clear" w:color="auto" w:fill="auto"/>
            <w:noWrap/>
            <w:vAlign w:val="bottom"/>
            <w:hideMark/>
          </w:tcPr>
          <w:p w14:paraId="29C9A7D3"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38381C73" w14:textId="45D4676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5BA8369A" w14:textId="008FC113"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26BD79F9"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D4EA00"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2C21E5E2"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R0710</w:t>
            </w:r>
          </w:p>
        </w:tc>
        <w:tc>
          <w:tcPr>
            <w:tcW w:w="2835" w:type="dxa"/>
            <w:tcBorders>
              <w:top w:val="nil"/>
              <w:left w:val="nil"/>
              <w:bottom w:val="single" w:sz="4" w:space="0" w:color="auto"/>
              <w:right w:val="single" w:sz="4" w:space="0" w:color="auto"/>
            </w:tcBorders>
            <w:shd w:val="clear" w:color="000000" w:fill="FFFFFF"/>
            <w:noWrap/>
            <w:vAlign w:val="bottom"/>
            <w:hideMark/>
          </w:tcPr>
          <w:p w14:paraId="2B7CC773"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33 073</w:t>
            </w:r>
          </w:p>
        </w:tc>
        <w:tc>
          <w:tcPr>
            <w:tcW w:w="2268" w:type="dxa"/>
            <w:tcBorders>
              <w:top w:val="nil"/>
              <w:left w:val="nil"/>
              <w:bottom w:val="single" w:sz="4" w:space="0" w:color="auto"/>
              <w:right w:val="single" w:sz="4" w:space="0" w:color="auto"/>
            </w:tcBorders>
            <w:shd w:val="clear" w:color="000000" w:fill="FFFFFF"/>
            <w:noWrap/>
            <w:vAlign w:val="bottom"/>
            <w:hideMark/>
          </w:tcPr>
          <w:p w14:paraId="6CFC5107"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33 073</w:t>
            </w:r>
          </w:p>
        </w:tc>
      </w:tr>
      <w:tr w:rsidR="0066315B" w:rsidRPr="00241164" w14:paraId="05774629"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DFD05D2"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7ED52440"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R0720</w:t>
            </w:r>
          </w:p>
        </w:tc>
        <w:tc>
          <w:tcPr>
            <w:tcW w:w="2835" w:type="dxa"/>
            <w:tcBorders>
              <w:top w:val="nil"/>
              <w:left w:val="nil"/>
              <w:bottom w:val="single" w:sz="4" w:space="0" w:color="auto"/>
              <w:right w:val="single" w:sz="4" w:space="0" w:color="auto"/>
            </w:tcBorders>
            <w:shd w:val="clear" w:color="000000" w:fill="FFFFFF"/>
            <w:noWrap/>
            <w:vAlign w:val="bottom"/>
            <w:hideMark/>
          </w:tcPr>
          <w:p w14:paraId="51DC98B8" w14:textId="25EEA389"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6DBB339" w14:textId="4F048A00"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25B8EB4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BCB4C10"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5131F25B"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R0730</w:t>
            </w:r>
          </w:p>
        </w:tc>
        <w:tc>
          <w:tcPr>
            <w:tcW w:w="2835" w:type="dxa"/>
            <w:tcBorders>
              <w:top w:val="nil"/>
              <w:left w:val="nil"/>
              <w:bottom w:val="single" w:sz="4" w:space="0" w:color="auto"/>
              <w:right w:val="single" w:sz="4" w:space="0" w:color="auto"/>
            </w:tcBorders>
            <w:shd w:val="clear" w:color="000000" w:fill="BFBFBF"/>
            <w:noWrap/>
            <w:vAlign w:val="bottom"/>
            <w:hideMark/>
          </w:tcPr>
          <w:p w14:paraId="042B6028" w14:textId="7C2EEF0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0F14A2DF" w14:textId="2F961ED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BBDCD44"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227BBD8"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095E2344"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R0740</w:t>
            </w:r>
          </w:p>
        </w:tc>
        <w:tc>
          <w:tcPr>
            <w:tcW w:w="2835" w:type="dxa"/>
            <w:tcBorders>
              <w:top w:val="nil"/>
              <w:left w:val="nil"/>
              <w:bottom w:val="single" w:sz="4" w:space="0" w:color="auto"/>
              <w:right w:val="single" w:sz="4" w:space="0" w:color="auto"/>
            </w:tcBorders>
            <w:shd w:val="clear" w:color="000000" w:fill="FFFFFF"/>
            <w:noWrap/>
            <w:vAlign w:val="bottom"/>
            <w:hideMark/>
          </w:tcPr>
          <w:p w14:paraId="7B7B9A5A" w14:textId="2D2AED69"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FDD66CE" w14:textId="62E2A8EA"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2A498F57"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B78A124"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1DCAAA3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R0800</w:t>
            </w:r>
          </w:p>
        </w:tc>
        <w:tc>
          <w:tcPr>
            <w:tcW w:w="2835" w:type="dxa"/>
            <w:tcBorders>
              <w:top w:val="nil"/>
              <w:left w:val="nil"/>
              <w:bottom w:val="single" w:sz="4" w:space="0" w:color="auto"/>
              <w:right w:val="single" w:sz="4" w:space="0" w:color="auto"/>
            </w:tcBorders>
            <w:shd w:val="clear" w:color="000000" w:fill="FFFFFF"/>
            <w:noWrap/>
            <w:vAlign w:val="bottom"/>
            <w:hideMark/>
          </w:tcPr>
          <w:p w14:paraId="02F19691"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33 073</w:t>
            </w:r>
          </w:p>
        </w:tc>
        <w:tc>
          <w:tcPr>
            <w:tcW w:w="2268" w:type="dxa"/>
            <w:tcBorders>
              <w:top w:val="nil"/>
              <w:left w:val="nil"/>
              <w:bottom w:val="single" w:sz="4" w:space="0" w:color="auto"/>
              <w:right w:val="single" w:sz="4" w:space="0" w:color="auto"/>
            </w:tcBorders>
            <w:shd w:val="clear" w:color="000000" w:fill="FFFFFF"/>
            <w:noWrap/>
            <w:vAlign w:val="bottom"/>
            <w:hideMark/>
          </w:tcPr>
          <w:p w14:paraId="0929F931"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33 073</w:t>
            </w:r>
          </w:p>
        </w:tc>
      </w:tr>
      <w:tr w:rsidR="0066315B" w:rsidRPr="00241164" w14:paraId="3882A330"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30CD276"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Náklady na správu pojistných pohledávek</w:t>
            </w:r>
          </w:p>
        </w:tc>
        <w:tc>
          <w:tcPr>
            <w:tcW w:w="1134" w:type="dxa"/>
            <w:tcBorders>
              <w:top w:val="nil"/>
              <w:left w:val="nil"/>
              <w:bottom w:val="single" w:sz="4" w:space="0" w:color="auto"/>
              <w:right w:val="single" w:sz="4" w:space="0" w:color="auto"/>
            </w:tcBorders>
            <w:shd w:val="clear" w:color="auto" w:fill="auto"/>
            <w:noWrap/>
            <w:vAlign w:val="bottom"/>
            <w:hideMark/>
          </w:tcPr>
          <w:p w14:paraId="7DF2EFF6"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6BECB8E2" w14:textId="2C76F5B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737DB481" w14:textId="6ABC7B96"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3AD44C6F"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6BB38B1"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577A8004"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R0810</w:t>
            </w:r>
          </w:p>
        </w:tc>
        <w:tc>
          <w:tcPr>
            <w:tcW w:w="2835" w:type="dxa"/>
            <w:tcBorders>
              <w:top w:val="nil"/>
              <w:left w:val="nil"/>
              <w:bottom w:val="single" w:sz="4" w:space="0" w:color="auto"/>
              <w:right w:val="single" w:sz="4" w:space="0" w:color="auto"/>
            </w:tcBorders>
            <w:shd w:val="clear" w:color="000000" w:fill="FFFFFF"/>
            <w:noWrap/>
            <w:vAlign w:val="bottom"/>
            <w:hideMark/>
          </w:tcPr>
          <w:p w14:paraId="118E0F9E" w14:textId="5BDE2619"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1F9E509" w14:textId="7468698A"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497E642"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D8500B5"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72791D68"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R0820</w:t>
            </w:r>
          </w:p>
        </w:tc>
        <w:tc>
          <w:tcPr>
            <w:tcW w:w="2835" w:type="dxa"/>
            <w:tcBorders>
              <w:top w:val="nil"/>
              <w:left w:val="nil"/>
              <w:bottom w:val="single" w:sz="4" w:space="0" w:color="auto"/>
              <w:right w:val="single" w:sz="4" w:space="0" w:color="auto"/>
            </w:tcBorders>
            <w:shd w:val="clear" w:color="000000" w:fill="FFFFFF"/>
            <w:noWrap/>
            <w:vAlign w:val="bottom"/>
            <w:hideMark/>
          </w:tcPr>
          <w:p w14:paraId="2B6A1026" w14:textId="64A5D8E1"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EFA54E7" w14:textId="497E126B"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0297D75"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2691844"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24D4BB93"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R0830</w:t>
            </w:r>
          </w:p>
        </w:tc>
        <w:tc>
          <w:tcPr>
            <w:tcW w:w="2835" w:type="dxa"/>
            <w:tcBorders>
              <w:top w:val="nil"/>
              <w:left w:val="nil"/>
              <w:bottom w:val="single" w:sz="4" w:space="0" w:color="auto"/>
              <w:right w:val="single" w:sz="4" w:space="0" w:color="auto"/>
            </w:tcBorders>
            <w:shd w:val="clear" w:color="000000" w:fill="BFBFBF"/>
            <w:noWrap/>
            <w:vAlign w:val="bottom"/>
            <w:hideMark/>
          </w:tcPr>
          <w:p w14:paraId="102CCC33" w14:textId="0495752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1A2732E" w14:textId="74BD252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439FE338"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2BED1DE"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6D85D589"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R0840</w:t>
            </w:r>
          </w:p>
        </w:tc>
        <w:tc>
          <w:tcPr>
            <w:tcW w:w="2835" w:type="dxa"/>
            <w:tcBorders>
              <w:top w:val="nil"/>
              <w:left w:val="nil"/>
              <w:bottom w:val="single" w:sz="4" w:space="0" w:color="auto"/>
              <w:right w:val="single" w:sz="4" w:space="0" w:color="auto"/>
            </w:tcBorders>
            <w:shd w:val="clear" w:color="000000" w:fill="FFFFFF"/>
            <w:noWrap/>
            <w:vAlign w:val="bottom"/>
            <w:hideMark/>
          </w:tcPr>
          <w:p w14:paraId="425DE933" w14:textId="1748036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7C820D2" w14:textId="40B7F238"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1A2F572D"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7DCA765"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170EB58B"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R0900</w:t>
            </w:r>
          </w:p>
        </w:tc>
        <w:tc>
          <w:tcPr>
            <w:tcW w:w="2835" w:type="dxa"/>
            <w:tcBorders>
              <w:top w:val="nil"/>
              <w:left w:val="nil"/>
              <w:bottom w:val="single" w:sz="4" w:space="0" w:color="auto"/>
              <w:right w:val="single" w:sz="4" w:space="0" w:color="auto"/>
            </w:tcBorders>
            <w:shd w:val="clear" w:color="000000" w:fill="FFFFFF"/>
            <w:noWrap/>
            <w:vAlign w:val="bottom"/>
            <w:hideMark/>
          </w:tcPr>
          <w:p w14:paraId="2A5765E5" w14:textId="6BD419B8"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75ECD835" w14:textId="42EB9DB5"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54619484"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5301ECF"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Pořizovací náklady</w:t>
            </w:r>
          </w:p>
        </w:tc>
        <w:tc>
          <w:tcPr>
            <w:tcW w:w="1134" w:type="dxa"/>
            <w:tcBorders>
              <w:top w:val="nil"/>
              <w:left w:val="nil"/>
              <w:bottom w:val="single" w:sz="4" w:space="0" w:color="auto"/>
              <w:right w:val="single" w:sz="4" w:space="0" w:color="auto"/>
            </w:tcBorders>
            <w:shd w:val="clear" w:color="auto" w:fill="auto"/>
            <w:noWrap/>
            <w:vAlign w:val="bottom"/>
            <w:hideMark/>
          </w:tcPr>
          <w:p w14:paraId="421AAD49"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1476AB4E" w14:textId="640DF7F4"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27968463" w14:textId="06EE254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229291CE"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E8B81E4"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0902DDE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R0910</w:t>
            </w:r>
          </w:p>
        </w:tc>
        <w:tc>
          <w:tcPr>
            <w:tcW w:w="2835" w:type="dxa"/>
            <w:tcBorders>
              <w:top w:val="nil"/>
              <w:left w:val="nil"/>
              <w:bottom w:val="single" w:sz="4" w:space="0" w:color="auto"/>
              <w:right w:val="single" w:sz="4" w:space="0" w:color="auto"/>
            </w:tcBorders>
            <w:shd w:val="clear" w:color="000000" w:fill="FFFFFF"/>
            <w:noWrap/>
            <w:vAlign w:val="bottom"/>
            <w:hideMark/>
          </w:tcPr>
          <w:p w14:paraId="4E087542"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1 535 087</w:t>
            </w:r>
          </w:p>
        </w:tc>
        <w:tc>
          <w:tcPr>
            <w:tcW w:w="2268" w:type="dxa"/>
            <w:tcBorders>
              <w:top w:val="nil"/>
              <w:left w:val="nil"/>
              <w:bottom w:val="single" w:sz="4" w:space="0" w:color="auto"/>
              <w:right w:val="single" w:sz="4" w:space="0" w:color="auto"/>
            </w:tcBorders>
            <w:shd w:val="clear" w:color="000000" w:fill="FFFFFF"/>
            <w:noWrap/>
            <w:vAlign w:val="bottom"/>
            <w:hideMark/>
          </w:tcPr>
          <w:p w14:paraId="35874C9A"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1 535 087</w:t>
            </w:r>
          </w:p>
        </w:tc>
      </w:tr>
      <w:tr w:rsidR="0066315B" w:rsidRPr="00241164" w14:paraId="6E93F6F2"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BF047DA"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7C0162F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R0920</w:t>
            </w:r>
          </w:p>
        </w:tc>
        <w:tc>
          <w:tcPr>
            <w:tcW w:w="2835" w:type="dxa"/>
            <w:tcBorders>
              <w:top w:val="nil"/>
              <w:left w:val="nil"/>
              <w:bottom w:val="single" w:sz="4" w:space="0" w:color="auto"/>
              <w:right w:val="single" w:sz="4" w:space="0" w:color="auto"/>
            </w:tcBorders>
            <w:shd w:val="clear" w:color="000000" w:fill="FFFFFF"/>
            <w:noWrap/>
            <w:vAlign w:val="bottom"/>
            <w:hideMark/>
          </w:tcPr>
          <w:p w14:paraId="5C3F7A38" w14:textId="791811B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0A40AF5B" w14:textId="2B6D8BC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2B6DD4C"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75874B"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60D418F1"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R0930</w:t>
            </w:r>
          </w:p>
        </w:tc>
        <w:tc>
          <w:tcPr>
            <w:tcW w:w="2835" w:type="dxa"/>
            <w:tcBorders>
              <w:top w:val="nil"/>
              <w:left w:val="nil"/>
              <w:bottom w:val="single" w:sz="4" w:space="0" w:color="auto"/>
              <w:right w:val="single" w:sz="4" w:space="0" w:color="auto"/>
            </w:tcBorders>
            <w:shd w:val="clear" w:color="000000" w:fill="BFBFBF"/>
            <w:noWrap/>
            <w:vAlign w:val="bottom"/>
            <w:hideMark/>
          </w:tcPr>
          <w:p w14:paraId="43CDC771" w14:textId="24981E8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4869177C" w14:textId="7AD89EBF"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76083D5B"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C5459A4"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0AFFC8CB"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R0940</w:t>
            </w:r>
          </w:p>
        </w:tc>
        <w:tc>
          <w:tcPr>
            <w:tcW w:w="2835" w:type="dxa"/>
            <w:tcBorders>
              <w:top w:val="nil"/>
              <w:left w:val="nil"/>
              <w:bottom w:val="single" w:sz="4" w:space="0" w:color="auto"/>
              <w:right w:val="single" w:sz="4" w:space="0" w:color="auto"/>
            </w:tcBorders>
            <w:shd w:val="clear" w:color="000000" w:fill="FFFFFF"/>
            <w:noWrap/>
            <w:vAlign w:val="bottom"/>
            <w:hideMark/>
          </w:tcPr>
          <w:p w14:paraId="11C6C08E" w14:textId="634F06F0"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10D5D2E4" w14:textId="69CA0146"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4F124E21"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526C5AB"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2B7A0378"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R1000</w:t>
            </w:r>
          </w:p>
        </w:tc>
        <w:tc>
          <w:tcPr>
            <w:tcW w:w="2835" w:type="dxa"/>
            <w:tcBorders>
              <w:top w:val="nil"/>
              <w:left w:val="nil"/>
              <w:bottom w:val="single" w:sz="4" w:space="0" w:color="auto"/>
              <w:right w:val="single" w:sz="4" w:space="0" w:color="auto"/>
            </w:tcBorders>
            <w:shd w:val="clear" w:color="000000" w:fill="FFFFFF"/>
            <w:noWrap/>
            <w:vAlign w:val="bottom"/>
            <w:hideMark/>
          </w:tcPr>
          <w:p w14:paraId="02E3DDFA"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1 535 087</w:t>
            </w:r>
          </w:p>
        </w:tc>
        <w:tc>
          <w:tcPr>
            <w:tcW w:w="2268" w:type="dxa"/>
            <w:tcBorders>
              <w:top w:val="nil"/>
              <w:left w:val="nil"/>
              <w:bottom w:val="single" w:sz="4" w:space="0" w:color="auto"/>
              <w:right w:val="single" w:sz="4" w:space="0" w:color="auto"/>
            </w:tcBorders>
            <w:shd w:val="clear" w:color="000000" w:fill="FFFFFF"/>
            <w:noWrap/>
            <w:vAlign w:val="bottom"/>
            <w:hideMark/>
          </w:tcPr>
          <w:p w14:paraId="7AC768F4"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1 535 087</w:t>
            </w:r>
          </w:p>
        </w:tc>
      </w:tr>
      <w:tr w:rsidR="0066315B" w:rsidRPr="00241164" w14:paraId="4DCA9301"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C4C31B7" w14:textId="77777777" w:rsidR="00241164" w:rsidRPr="00241164" w:rsidRDefault="00241164" w:rsidP="00241164">
            <w:pPr>
              <w:spacing w:after="0" w:line="240" w:lineRule="auto"/>
              <w:ind w:firstLineChars="100" w:firstLine="15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Režijní náklady</w:t>
            </w:r>
          </w:p>
        </w:tc>
        <w:tc>
          <w:tcPr>
            <w:tcW w:w="1134" w:type="dxa"/>
            <w:tcBorders>
              <w:top w:val="nil"/>
              <w:left w:val="nil"/>
              <w:bottom w:val="single" w:sz="4" w:space="0" w:color="auto"/>
              <w:right w:val="single" w:sz="4" w:space="0" w:color="auto"/>
            </w:tcBorders>
            <w:shd w:val="clear" w:color="auto" w:fill="auto"/>
            <w:noWrap/>
            <w:vAlign w:val="bottom"/>
            <w:hideMark/>
          </w:tcPr>
          <w:p w14:paraId="621BF845"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 </w:t>
            </w:r>
          </w:p>
        </w:tc>
        <w:tc>
          <w:tcPr>
            <w:tcW w:w="2835" w:type="dxa"/>
            <w:tcBorders>
              <w:top w:val="nil"/>
              <w:left w:val="nil"/>
              <w:bottom w:val="single" w:sz="4" w:space="0" w:color="auto"/>
              <w:right w:val="single" w:sz="4" w:space="0" w:color="auto"/>
            </w:tcBorders>
            <w:shd w:val="clear" w:color="000000" w:fill="BFBFBF"/>
            <w:noWrap/>
            <w:vAlign w:val="bottom"/>
            <w:hideMark/>
          </w:tcPr>
          <w:p w14:paraId="66105125" w14:textId="059FBD5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BFBFBF"/>
            <w:noWrap/>
            <w:vAlign w:val="bottom"/>
            <w:hideMark/>
          </w:tcPr>
          <w:p w14:paraId="1B05EFBB" w14:textId="5C2F5D1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AC877DF"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F765E6F"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přímé pojištění</w:t>
            </w:r>
          </w:p>
        </w:tc>
        <w:tc>
          <w:tcPr>
            <w:tcW w:w="1134" w:type="dxa"/>
            <w:tcBorders>
              <w:top w:val="nil"/>
              <w:left w:val="nil"/>
              <w:bottom w:val="single" w:sz="4" w:space="0" w:color="auto"/>
              <w:right w:val="single" w:sz="4" w:space="0" w:color="auto"/>
            </w:tcBorders>
            <w:shd w:val="clear" w:color="auto" w:fill="auto"/>
            <w:noWrap/>
            <w:vAlign w:val="bottom"/>
            <w:hideMark/>
          </w:tcPr>
          <w:p w14:paraId="2B11B6B2"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R1010</w:t>
            </w:r>
          </w:p>
        </w:tc>
        <w:tc>
          <w:tcPr>
            <w:tcW w:w="2835" w:type="dxa"/>
            <w:tcBorders>
              <w:top w:val="nil"/>
              <w:left w:val="nil"/>
              <w:bottom w:val="single" w:sz="4" w:space="0" w:color="auto"/>
              <w:right w:val="single" w:sz="4" w:space="0" w:color="auto"/>
            </w:tcBorders>
            <w:shd w:val="clear" w:color="000000" w:fill="FFFFFF"/>
            <w:noWrap/>
            <w:vAlign w:val="bottom"/>
            <w:hideMark/>
          </w:tcPr>
          <w:p w14:paraId="619A9391"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22 804 565</w:t>
            </w:r>
          </w:p>
        </w:tc>
        <w:tc>
          <w:tcPr>
            <w:tcW w:w="2268" w:type="dxa"/>
            <w:tcBorders>
              <w:top w:val="nil"/>
              <w:left w:val="nil"/>
              <w:bottom w:val="single" w:sz="4" w:space="0" w:color="auto"/>
              <w:right w:val="single" w:sz="4" w:space="0" w:color="auto"/>
            </w:tcBorders>
            <w:shd w:val="clear" w:color="000000" w:fill="FFFFFF"/>
            <w:noWrap/>
            <w:vAlign w:val="bottom"/>
            <w:hideMark/>
          </w:tcPr>
          <w:p w14:paraId="021C17C4"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22 804 565</w:t>
            </w:r>
          </w:p>
        </w:tc>
      </w:tr>
      <w:tr w:rsidR="0066315B" w:rsidRPr="00241164" w14:paraId="34CD0F08"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7AB6C4C"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1666789E"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R1020</w:t>
            </w:r>
          </w:p>
        </w:tc>
        <w:tc>
          <w:tcPr>
            <w:tcW w:w="2835" w:type="dxa"/>
            <w:tcBorders>
              <w:top w:val="nil"/>
              <w:left w:val="nil"/>
              <w:bottom w:val="single" w:sz="4" w:space="0" w:color="auto"/>
              <w:right w:val="single" w:sz="4" w:space="0" w:color="auto"/>
            </w:tcBorders>
            <w:shd w:val="clear" w:color="000000" w:fill="FFFFFF"/>
            <w:noWrap/>
            <w:vAlign w:val="bottom"/>
            <w:hideMark/>
          </w:tcPr>
          <w:p w14:paraId="742E07DB" w14:textId="201314D2"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4F0612F" w14:textId="1712917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168E5638"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9C68045"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Hrubá hodnota – přijaté neproporcionální zajištění</w:t>
            </w:r>
          </w:p>
        </w:tc>
        <w:tc>
          <w:tcPr>
            <w:tcW w:w="1134" w:type="dxa"/>
            <w:tcBorders>
              <w:top w:val="nil"/>
              <w:left w:val="nil"/>
              <w:bottom w:val="single" w:sz="4" w:space="0" w:color="auto"/>
              <w:right w:val="single" w:sz="4" w:space="0" w:color="auto"/>
            </w:tcBorders>
            <w:shd w:val="clear" w:color="auto" w:fill="auto"/>
            <w:noWrap/>
            <w:vAlign w:val="bottom"/>
            <w:hideMark/>
          </w:tcPr>
          <w:p w14:paraId="0F33B328"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R1030</w:t>
            </w:r>
          </w:p>
        </w:tc>
        <w:tc>
          <w:tcPr>
            <w:tcW w:w="2835" w:type="dxa"/>
            <w:tcBorders>
              <w:top w:val="nil"/>
              <w:left w:val="nil"/>
              <w:bottom w:val="single" w:sz="4" w:space="0" w:color="auto"/>
              <w:right w:val="single" w:sz="4" w:space="0" w:color="auto"/>
            </w:tcBorders>
            <w:shd w:val="clear" w:color="000000" w:fill="BFBFBF"/>
            <w:noWrap/>
            <w:vAlign w:val="bottom"/>
            <w:hideMark/>
          </w:tcPr>
          <w:p w14:paraId="4D6CC213" w14:textId="3E6409AE"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605E23C0" w14:textId="1ED42491"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0E5BB445"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D8E512C"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Podíl zajistitelů</w:t>
            </w:r>
          </w:p>
        </w:tc>
        <w:tc>
          <w:tcPr>
            <w:tcW w:w="1134" w:type="dxa"/>
            <w:tcBorders>
              <w:top w:val="nil"/>
              <w:left w:val="nil"/>
              <w:bottom w:val="single" w:sz="4" w:space="0" w:color="auto"/>
              <w:right w:val="single" w:sz="4" w:space="0" w:color="auto"/>
            </w:tcBorders>
            <w:shd w:val="clear" w:color="auto" w:fill="auto"/>
            <w:noWrap/>
            <w:vAlign w:val="bottom"/>
            <w:hideMark/>
          </w:tcPr>
          <w:p w14:paraId="07CCF2FC"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R1040</w:t>
            </w:r>
          </w:p>
        </w:tc>
        <w:tc>
          <w:tcPr>
            <w:tcW w:w="2835" w:type="dxa"/>
            <w:tcBorders>
              <w:top w:val="nil"/>
              <w:left w:val="nil"/>
              <w:bottom w:val="single" w:sz="4" w:space="0" w:color="auto"/>
              <w:right w:val="single" w:sz="4" w:space="0" w:color="auto"/>
            </w:tcBorders>
            <w:shd w:val="clear" w:color="000000" w:fill="FFFFFF"/>
            <w:noWrap/>
            <w:vAlign w:val="bottom"/>
            <w:hideMark/>
          </w:tcPr>
          <w:p w14:paraId="5C925389" w14:textId="4B8B85AC"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749B8C21" w14:textId="4293FDC3"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r>
      <w:tr w:rsidR="0066315B" w:rsidRPr="00241164" w14:paraId="567E3E1B"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F1F6C4B" w14:textId="77777777" w:rsidR="00241164" w:rsidRPr="00241164" w:rsidRDefault="00241164" w:rsidP="00241164">
            <w:pPr>
              <w:spacing w:after="0" w:line="240" w:lineRule="auto"/>
              <w:ind w:firstLineChars="200" w:firstLine="300"/>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Čistá hodnota</w:t>
            </w:r>
          </w:p>
        </w:tc>
        <w:tc>
          <w:tcPr>
            <w:tcW w:w="1134" w:type="dxa"/>
            <w:tcBorders>
              <w:top w:val="nil"/>
              <w:left w:val="nil"/>
              <w:bottom w:val="single" w:sz="4" w:space="0" w:color="auto"/>
              <w:right w:val="single" w:sz="4" w:space="0" w:color="auto"/>
            </w:tcBorders>
            <w:shd w:val="clear" w:color="auto" w:fill="auto"/>
            <w:noWrap/>
            <w:vAlign w:val="bottom"/>
            <w:hideMark/>
          </w:tcPr>
          <w:p w14:paraId="238A600D"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R1100</w:t>
            </w:r>
          </w:p>
        </w:tc>
        <w:tc>
          <w:tcPr>
            <w:tcW w:w="2835" w:type="dxa"/>
            <w:tcBorders>
              <w:top w:val="nil"/>
              <w:left w:val="nil"/>
              <w:bottom w:val="single" w:sz="4" w:space="0" w:color="auto"/>
              <w:right w:val="single" w:sz="4" w:space="0" w:color="auto"/>
            </w:tcBorders>
            <w:shd w:val="clear" w:color="000000" w:fill="FFFFFF"/>
            <w:noWrap/>
            <w:vAlign w:val="bottom"/>
            <w:hideMark/>
          </w:tcPr>
          <w:p w14:paraId="0E938E4B"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22 804 565</w:t>
            </w:r>
          </w:p>
        </w:tc>
        <w:tc>
          <w:tcPr>
            <w:tcW w:w="2268" w:type="dxa"/>
            <w:tcBorders>
              <w:top w:val="nil"/>
              <w:left w:val="nil"/>
              <w:bottom w:val="single" w:sz="4" w:space="0" w:color="auto"/>
              <w:right w:val="single" w:sz="4" w:space="0" w:color="auto"/>
            </w:tcBorders>
            <w:shd w:val="clear" w:color="000000" w:fill="FFFFFF"/>
            <w:noWrap/>
            <w:vAlign w:val="bottom"/>
            <w:hideMark/>
          </w:tcPr>
          <w:p w14:paraId="4DC6963B"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22 804 565</w:t>
            </w:r>
          </w:p>
        </w:tc>
      </w:tr>
      <w:tr w:rsidR="0066315B" w:rsidRPr="00241164" w14:paraId="0190E04A"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421887F"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Ostatní náklady</w:t>
            </w:r>
          </w:p>
        </w:tc>
        <w:tc>
          <w:tcPr>
            <w:tcW w:w="1134" w:type="dxa"/>
            <w:tcBorders>
              <w:top w:val="nil"/>
              <w:left w:val="nil"/>
              <w:bottom w:val="single" w:sz="4" w:space="0" w:color="auto"/>
              <w:right w:val="single" w:sz="4" w:space="0" w:color="auto"/>
            </w:tcBorders>
            <w:shd w:val="clear" w:color="auto" w:fill="auto"/>
            <w:noWrap/>
            <w:vAlign w:val="bottom"/>
            <w:hideMark/>
          </w:tcPr>
          <w:p w14:paraId="557E3F2F"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R1200</w:t>
            </w:r>
          </w:p>
        </w:tc>
        <w:tc>
          <w:tcPr>
            <w:tcW w:w="2835" w:type="dxa"/>
            <w:tcBorders>
              <w:top w:val="nil"/>
              <w:left w:val="nil"/>
              <w:bottom w:val="single" w:sz="4" w:space="0" w:color="auto"/>
              <w:right w:val="single" w:sz="4" w:space="0" w:color="auto"/>
            </w:tcBorders>
            <w:shd w:val="clear" w:color="000000" w:fill="BFBFBF"/>
            <w:noWrap/>
            <w:vAlign w:val="bottom"/>
            <w:hideMark/>
          </w:tcPr>
          <w:p w14:paraId="674AE01D" w14:textId="427AF95B"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3E84A3E8"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527 602</w:t>
            </w:r>
          </w:p>
        </w:tc>
      </w:tr>
      <w:tr w:rsidR="0066315B" w:rsidRPr="00241164" w14:paraId="29C4E5EB" w14:textId="77777777" w:rsidTr="001D43E8">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DF924AA" w14:textId="77777777" w:rsidR="00241164" w:rsidRPr="00241164" w:rsidRDefault="00241164" w:rsidP="00241164">
            <w:pPr>
              <w:spacing w:after="0" w:line="240" w:lineRule="auto"/>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Náklady celkem</w:t>
            </w:r>
          </w:p>
        </w:tc>
        <w:tc>
          <w:tcPr>
            <w:tcW w:w="1134" w:type="dxa"/>
            <w:tcBorders>
              <w:top w:val="nil"/>
              <w:left w:val="nil"/>
              <w:bottom w:val="single" w:sz="4" w:space="0" w:color="auto"/>
              <w:right w:val="single" w:sz="4" w:space="0" w:color="auto"/>
            </w:tcBorders>
            <w:shd w:val="clear" w:color="auto" w:fill="auto"/>
            <w:noWrap/>
            <w:vAlign w:val="bottom"/>
            <w:hideMark/>
          </w:tcPr>
          <w:p w14:paraId="4A0066EC" w14:textId="77777777" w:rsidR="00241164" w:rsidRPr="00241164" w:rsidRDefault="00241164" w:rsidP="00241164">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R1300</w:t>
            </w:r>
          </w:p>
        </w:tc>
        <w:tc>
          <w:tcPr>
            <w:tcW w:w="2835" w:type="dxa"/>
            <w:tcBorders>
              <w:top w:val="nil"/>
              <w:left w:val="nil"/>
              <w:bottom w:val="single" w:sz="4" w:space="0" w:color="auto"/>
              <w:right w:val="single" w:sz="4" w:space="0" w:color="auto"/>
            </w:tcBorders>
            <w:shd w:val="clear" w:color="000000" w:fill="BFBFBF"/>
            <w:noWrap/>
            <w:vAlign w:val="bottom"/>
            <w:hideMark/>
          </w:tcPr>
          <w:p w14:paraId="0C7956EC" w14:textId="02BCF7E5"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p>
        </w:tc>
        <w:tc>
          <w:tcPr>
            <w:tcW w:w="2268" w:type="dxa"/>
            <w:tcBorders>
              <w:top w:val="nil"/>
              <w:left w:val="nil"/>
              <w:bottom w:val="single" w:sz="4" w:space="0" w:color="auto"/>
              <w:right w:val="single" w:sz="4" w:space="0" w:color="auto"/>
            </w:tcBorders>
            <w:shd w:val="clear" w:color="000000" w:fill="FFFFFF"/>
            <w:noWrap/>
            <w:vAlign w:val="bottom"/>
            <w:hideMark/>
          </w:tcPr>
          <w:p w14:paraId="26085C2D" w14:textId="77777777" w:rsidR="00241164" w:rsidRPr="00241164" w:rsidRDefault="00241164" w:rsidP="00A13EE0">
            <w:pPr>
              <w:spacing w:after="0" w:line="240" w:lineRule="auto"/>
              <w:jc w:val="center"/>
              <w:rPr>
                <w:rFonts w:ascii="Calibri" w:eastAsia="Times New Roman" w:hAnsi="Calibri" w:cs="Calibri"/>
                <w:color w:val="000000"/>
                <w:sz w:val="15"/>
                <w:szCs w:val="15"/>
                <w:lang w:eastAsia="cs-CZ"/>
              </w:rPr>
            </w:pPr>
            <w:r w:rsidRPr="00241164">
              <w:rPr>
                <w:rFonts w:ascii="Calibri" w:eastAsia="Times New Roman" w:hAnsi="Calibri" w:cs="Calibri"/>
                <w:color w:val="000000"/>
                <w:sz w:val="15"/>
                <w:szCs w:val="15"/>
                <w:lang w:eastAsia="cs-CZ"/>
              </w:rPr>
              <w:t>43 468 883</w:t>
            </w:r>
          </w:p>
        </w:tc>
      </w:tr>
    </w:tbl>
    <w:p w14:paraId="69B7BB26" w14:textId="77777777" w:rsidR="00FA5B54" w:rsidRDefault="00FA5B54" w:rsidP="00FA5B54"/>
    <w:p w14:paraId="35F7E746" w14:textId="77777777" w:rsidR="0066315B" w:rsidRDefault="0066315B" w:rsidP="00FA5B54">
      <w:pPr>
        <w:pStyle w:val="Nadpis2"/>
        <w:rPr>
          <w:color w:val="auto"/>
        </w:rPr>
        <w:sectPr w:rsidR="0066315B" w:rsidSect="0066315B">
          <w:headerReference w:type="default" r:id="rId15"/>
          <w:pgSz w:w="11906" w:h="16838"/>
          <w:pgMar w:top="709" w:right="426" w:bottom="993" w:left="851" w:header="708" w:footer="708" w:gutter="0"/>
          <w:cols w:space="708"/>
          <w:docGrid w:linePitch="360"/>
        </w:sectPr>
      </w:pPr>
    </w:p>
    <w:p w14:paraId="489396D1" w14:textId="60F87045" w:rsidR="00FA5B54" w:rsidRDefault="00FA5B54" w:rsidP="00FA5B54">
      <w:pPr>
        <w:pStyle w:val="Nadpis2"/>
        <w:rPr>
          <w:color w:val="auto"/>
        </w:rPr>
      </w:pPr>
      <w:bookmarkStart w:id="44" w:name="_Toc75366908"/>
      <w:r w:rsidRPr="00D121FD">
        <w:rPr>
          <w:color w:val="auto"/>
        </w:rPr>
        <w:lastRenderedPageBreak/>
        <w:t>S.17.01.02 Technické rezervy týkající se neživotního pojištění</w:t>
      </w:r>
      <w:bookmarkEnd w:id="44"/>
    </w:p>
    <w:tbl>
      <w:tblPr>
        <w:tblW w:w="15309" w:type="dxa"/>
        <w:tblCellMar>
          <w:left w:w="70" w:type="dxa"/>
          <w:right w:w="70" w:type="dxa"/>
        </w:tblCellMar>
        <w:tblLook w:val="04A0" w:firstRow="1" w:lastRow="0" w:firstColumn="1" w:lastColumn="0" w:noHBand="0" w:noVBand="1"/>
      </w:tblPr>
      <w:tblGrid>
        <w:gridCol w:w="10773"/>
        <w:gridCol w:w="709"/>
        <w:gridCol w:w="1985"/>
        <w:gridCol w:w="1842"/>
      </w:tblGrid>
      <w:tr w:rsidR="00C7402B" w:rsidRPr="006F46E4" w14:paraId="6A001AF1" w14:textId="77777777" w:rsidTr="00C7402B">
        <w:tc>
          <w:tcPr>
            <w:tcW w:w="10773" w:type="dxa"/>
            <w:tcBorders>
              <w:top w:val="nil"/>
              <w:left w:val="nil"/>
              <w:bottom w:val="nil"/>
              <w:right w:val="nil"/>
            </w:tcBorders>
            <w:shd w:val="clear" w:color="auto" w:fill="auto"/>
            <w:noWrap/>
            <w:vAlign w:val="bottom"/>
            <w:hideMark/>
          </w:tcPr>
          <w:p w14:paraId="5EC08C08" w14:textId="4175363D" w:rsidR="006F46E4" w:rsidRPr="006F46E4" w:rsidRDefault="006F46E4" w:rsidP="006F46E4">
            <w:pPr>
              <w:spacing w:after="0" w:line="240" w:lineRule="auto"/>
              <w:rPr>
                <w:rFonts w:eastAsia="Times New Roman" w:cstheme="minorHAnsi"/>
                <w:b/>
                <w:bCs/>
                <w:color w:val="000000"/>
                <w:sz w:val="15"/>
                <w:szCs w:val="15"/>
                <w:lang w:eastAsia="cs-CZ"/>
              </w:rPr>
            </w:pPr>
            <w:r w:rsidRPr="006F46E4">
              <w:rPr>
                <w:rFonts w:eastAsia="Times New Roman" w:cstheme="minorHAnsi"/>
                <w:b/>
                <w:bCs/>
                <w:color w:val="000000"/>
                <w:sz w:val="15"/>
                <w:szCs w:val="15"/>
                <w:lang w:eastAsia="cs-CZ"/>
              </w:rPr>
              <w:t>Technické rezervy na neživotní pojištění</w:t>
            </w:r>
          </w:p>
        </w:tc>
        <w:tc>
          <w:tcPr>
            <w:tcW w:w="709" w:type="dxa"/>
            <w:tcBorders>
              <w:top w:val="nil"/>
              <w:left w:val="nil"/>
              <w:bottom w:val="nil"/>
              <w:right w:val="nil"/>
            </w:tcBorders>
            <w:shd w:val="clear" w:color="auto" w:fill="auto"/>
            <w:noWrap/>
            <w:vAlign w:val="bottom"/>
            <w:hideMark/>
          </w:tcPr>
          <w:p w14:paraId="1BC8FEC7" w14:textId="77777777" w:rsidR="006F46E4" w:rsidRPr="006F46E4" w:rsidRDefault="006F46E4" w:rsidP="006F46E4">
            <w:pPr>
              <w:spacing w:after="0" w:line="240" w:lineRule="auto"/>
              <w:rPr>
                <w:rFonts w:eastAsia="Times New Roman" w:cstheme="minorHAnsi"/>
                <w:b/>
                <w:bCs/>
                <w:color w:val="000000"/>
                <w:sz w:val="15"/>
                <w:szCs w:val="15"/>
                <w:lang w:eastAsia="cs-CZ"/>
              </w:rPr>
            </w:pPr>
          </w:p>
        </w:tc>
        <w:tc>
          <w:tcPr>
            <w:tcW w:w="1985" w:type="dxa"/>
            <w:tcBorders>
              <w:top w:val="nil"/>
              <w:left w:val="nil"/>
              <w:bottom w:val="nil"/>
              <w:right w:val="nil"/>
            </w:tcBorders>
            <w:shd w:val="clear" w:color="auto" w:fill="auto"/>
            <w:noWrap/>
            <w:vAlign w:val="bottom"/>
            <w:hideMark/>
          </w:tcPr>
          <w:p w14:paraId="08E2D30A" w14:textId="77777777" w:rsidR="006F46E4" w:rsidRPr="006F46E4" w:rsidRDefault="006F46E4" w:rsidP="006F46E4">
            <w:pPr>
              <w:spacing w:after="0" w:line="240" w:lineRule="auto"/>
              <w:rPr>
                <w:rFonts w:eastAsia="Times New Roman" w:cstheme="minorHAnsi"/>
                <w:sz w:val="15"/>
                <w:szCs w:val="15"/>
                <w:lang w:eastAsia="cs-CZ"/>
              </w:rPr>
            </w:pPr>
          </w:p>
        </w:tc>
        <w:tc>
          <w:tcPr>
            <w:tcW w:w="1842" w:type="dxa"/>
            <w:tcBorders>
              <w:top w:val="nil"/>
              <w:left w:val="nil"/>
              <w:bottom w:val="nil"/>
              <w:right w:val="nil"/>
            </w:tcBorders>
            <w:shd w:val="clear" w:color="auto" w:fill="auto"/>
            <w:noWrap/>
            <w:vAlign w:val="bottom"/>
            <w:hideMark/>
          </w:tcPr>
          <w:p w14:paraId="00C6E9B3" w14:textId="77777777" w:rsidR="006F46E4" w:rsidRPr="006F46E4" w:rsidRDefault="006F46E4" w:rsidP="006F46E4">
            <w:pPr>
              <w:spacing w:after="0" w:line="240" w:lineRule="auto"/>
              <w:rPr>
                <w:rFonts w:eastAsia="Times New Roman" w:cstheme="minorHAnsi"/>
                <w:sz w:val="15"/>
                <w:szCs w:val="15"/>
                <w:lang w:eastAsia="cs-CZ"/>
              </w:rPr>
            </w:pPr>
          </w:p>
        </w:tc>
      </w:tr>
      <w:tr w:rsidR="00C7402B" w:rsidRPr="006F46E4" w14:paraId="6A792421" w14:textId="77777777" w:rsidTr="00C7402B">
        <w:tc>
          <w:tcPr>
            <w:tcW w:w="10773" w:type="dxa"/>
            <w:tcBorders>
              <w:top w:val="nil"/>
              <w:left w:val="nil"/>
              <w:bottom w:val="nil"/>
              <w:right w:val="nil"/>
            </w:tcBorders>
            <w:shd w:val="clear" w:color="auto" w:fill="auto"/>
            <w:noWrap/>
            <w:vAlign w:val="bottom"/>
            <w:hideMark/>
          </w:tcPr>
          <w:p w14:paraId="2116821F" w14:textId="77777777" w:rsidR="006F46E4" w:rsidRPr="006F46E4" w:rsidRDefault="006F46E4" w:rsidP="006F46E4">
            <w:pPr>
              <w:spacing w:after="0" w:line="240" w:lineRule="auto"/>
              <w:rPr>
                <w:rFonts w:eastAsia="Times New Roman" w:cstheme="minorHAnsi"/>
                <w:sz w:val="15"/>
                <w:szCs w:val="15"/>
                <w:lang w:eastAsia="cs-CZ"/>
              </w:rPr>
            </w:pPr>
          </w:p>
        </w:tc>
        <w:tc>
          <w:tcPr>
            <w:tcW w:w="709" w:type="dxa"/>
            <w:tcBorders>
              <w:top w:val="nil"/>
              <w:left w:val="nil"/>
              <w:bottom w:val="nil"/>
              <w:right w:val="nil"/>
            </w:tcBorders>
            <w:shd w:val="clear" w:color="auto" w:fill="auto"/>
            <w:noWrap/>
            <w:vAlign w:val="bottom"/>
            <w:hideMark/>
          </w:tcPr>
          <w:p w14:paraId="778A93C9" w14:textId="77777777" w:rsidR="006F46E4" w:rsidRPr="006F46E4" w:rsidRDefault="006F46E4" w:rsidP="006F46E4">
            <w:pPr>
              <w:spacing w:after="0" w:line="240" w:lineRule="auto"/>
              <w:rPr>
                <w:rFonts w:eastAsia="Times New Roman" w:cstheme="minorHAnsi"/>
                <w:sz w:val="15"/>
                <w:szCs w:val="15"/>
                <w:lang w:eastAsia="cs-CZ"/>
              </w:rPr>
            </w:pPr>
          </w:p>
        </w:tc>
        <w:tc>
          <w:tcPr>
            <w:tcW w:w="1985" w:type="dxa"/>
            <w:tcBorders>
              <w:top w:val="nil"/>
              <w:left w:val="nil"/>
              <w:bottom w:val="nil"/>
              <w:right w:val="nil"/>
            </w:tcBorders>
            <w:shd w:val="clear" w:color="auto" w:fill="auto"/>
            <w:noWrap/>
            <w:vAlign w:val="bottom"/>
            <w:hideMark/>
          </w:tcPr>
          <w:p w14:paraId="1A546C86" w14:textId="77777777" w:rsidR="006F46E4" w:rsidRPr="006F46E4" w:rsidRDefault="006F46E4" w:rsidP="006F46E4">
            <w:pPr>
              <w:spacing w:after="0" w:line="240" w:lineRule="auto"/>
              <w:rPr>
                <w:rFonts w:eastAsia="Times New Roman" w:cstheme="minorHAnsi"/>
                <w:sz w:val="15"/>
                <w:szCs w:val="15"/>
                <w:lang w:eastAsia="cs-CZ"/>
              </w:rPr>
            </w:pPr>
          </w:p>
        </w:tc>
        <w:tc>
          <w:tcPr>
            <w:tcW w:w="1842" w:type="dxa"/>
            <w:tcBorders>
              <w:top w:val="nil"/>
              <w:left w:val="nil"/>
              <w:bottom w:val="nil"/>
              <w:right w:val="nil"/>
            </w:tcBorders>
            <w:shd w:val="clear" w:color="auto" w:fill="auto"/>
            <w:noWrap/>
            <w:vAlign w:val="bottom"/>
            <w:hideMark/>
          </w:tcPr>
          <w:p w14:paraId="33D416BD" w14:textId="77777777" w:rsidR="006F46E4" w:rsidRPr="006F46E4" w:rsidRDefault="006F46E4" w:rsidP="006F46E4">
            <w:pPr>
              <w:spacing w:after="0" w:line="240" w:lineRule="auto"/>
              <w:rPr>
                <w:rFonts w:eastAsia="Times New Roman" w:cstheme="minorHAnsi"/>
                <w:sz w:val="15"/>
                <w:szCs w:val="15"/>
                <w:lang w:eastAsia="cs-CZ"/>
              </w:rPr>
            </w:pPr>
          </w:p>
        </w:tc>
      </w:tr>
      <w:tr w:rsidR="00C7402B" w:rsidRPr="006F46E4" w14:paraId="43CCF655" w14:textId="77777777" w:rsidTr="00C7402B">
        <w:tc>
          <w:tcPr>
            <w:tcW w:w="10773" w:type="dxa"/>
            <w:tcBorders>
              <w:top w:val="nil"/>
              <w:left w:val="nil"/>
              <w:bottom w:val="nil"/>
              <w:right w:val="nil"/>
            </w:tcBorders>
            <w:shd w:val="clear" w:color="auto" w:fill="auto"/>
            <w:noWrap/>
            <w:vAlign w:val="bottom"/>
            <w:hideMark/>
          </w:tcPr>
          <w:p w14:paraId="446BED2A" w14:textId="77777777" w:rsidR="006F46E4" w:rsidRPr="006F46E4" w:rsidRDefault="006F46E4" w:rsidP="006F46E4">
            <w:pPr>
              <w:spacing w:after="0" w:line="240" w:lineRule="auto"/>
              <w:rPr>
                <w:rFonts w:eastAsia="Times New Roman" w:cstheme="minorHAnsi"/>
                <w:sz w:val="15"/>
                <w:szCs w:val="15"/>
                <w:lang w:eastAsia="cs-CZ"/>
              </w:rPr>
            </w:pPr>
          </w:p>
        </w:tc>
        <w:tc>
          <w:tcPr>
            <w:tcW w:w="709" w:type="dxa"/>
            <w:tcBorders>
              <w:top w:val="nil"/>
              <w:left w:val="nil"/>
              <w:bottom w:val="nil"/>
              <w:right w:val="nil"/>
            </w:tcBorders>
            <w:shd w:val="clear" w:color="auto" w:fill="auto"/>
            <w:noWrap/>
            <w:vAlign w:val="bottom"/>
            <w:hideMark/>
          </w:tcPr>
          <w:p w14:paraId="7B7642AA" w14:textId="77777777" w:rsidR="006F46E4" w:rsidRPr="006F46E4" w:rsidRDefault="006F46E4" w:rsidP="006F46E4">
            <w:pPr>
              <w:spacing w:after="0" w:line="240" w:lineRule="auto"/>
              <w:rPr>
                <w:rFonts w:eastAsia="Times New Roman" w:cstheme="minorHAnsi"/>
                <w:sz w:val="15"/>
                <w:szCs w:val="15"/>
                <w:lang w:eastAsia="cs-CZ"/>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6EDE"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Přímé pojištění a přijaté proporcionální zajištění</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9F1FEE9"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Celkové závazky z neživotního pojištění</w:t>
            </w:r>
          </w:p>
        </w:tc>
      </w:tr>
      <w:tr w:rsidR="00C7402B" w:rsidRPr="006F46E4" w14:paraId="3197B240" w14:textId="77777777" w:rsidTr="00C7402B">
        <w:tc>
          <w:tcPr>
            <w:tcW w:w="10773" w:type="dxa"/>
            <w:tcBorders>
              <w:top w:val="nil"/>
              <w:left w:val="nil"/>
              <w:bottom w:val="nil"/>
              <w:right w:val="nil"/>
            </w:tcBorders>
            <w:shd w:val="clear" w:color="auto" w:fill="auto"/>
            <w:noWrap/>
            <w:vAlign w:val="bottom"/>
            <w:hideMark/>
          </w:tcPr>
          <w:p w14:paraId="2912E283" w14:textId="77777777" w:rsidR="006F46E4" w:rsidRPr="006F46E4" w:rsidRDefault="006F46E4" w:rsidP="006F46E4">
            <w:pPr>
              <w:spacing w:after="0" w:line="240" w:lineRule="auto"/>
              <w:rPr>
                <w:rFonts w:eastAsia="Times New Roman" w:cstheme="minorHAnsi"/>
                <w:color w:val="000000"/>
                <w:sz w:val="15"/>
                <w:szCs w:val="15"/>
                <w:lang w:eastAsia="cs-CZ"/>
              </w:rPr>
            </w:pPr>
          </w:p>
        </w:tc>
        <w:tc>
          <w:tcPr>
            <w:tcW w:w="709" w:type="dxa"/>
            <w:tcBorders>
              <w:top w:val="nil"/>
              <w:left w:val="nil"/>
              <w:bottom w:val="nil"/>
              <w:right w:val="nil"/>
            </w:tcBorders>
            <w:shd w:val="clear" w:color="auto" w:fill="auto"/>
            <w:noWrap/>
            <w:vAlign w:val="bottom"/>
            <w:hideMark/>
          </w:tcPr>
          <w:p w14:paraId="548887F1" w14:textId="77777777" w:rsidR="006F46E4" w:rsidRPr="006F46E4" w:rsidRDefault="006F46E4" w:rsidP="006F46E4">
            <w:pPr>
              <w:spacing w:after="0" w:line="240" w:lineRule="auto"/>
              <w:rPr>
                <w:rFonts w:eastAsia="Times New Roman" w:cstheme="minorHAnsi"/>
                <w:sz w:val="15"/>
                <w:szCs w:val="15"/>
                <w:lang w:eastAsia="cs-CZ"/>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4D405EA"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Pojištění léčebných výloh</w:t>
            </w:r>
          </w:p>
        </w:tc>
        <w:tc>
          <w:tcPr>
            <w:tcW w:w="1842" w:type="dxa"/>
            <w:tcBorders>
              <w:top w:val="nil"/>
              <w:left w:val="nil"/>
              <w:bottom w:val="single" w:sz="4" w:space="0" w:color="auto"/>
              <w:right w:val="single" w:sz="4" w:space="0" w:color="auto"/>
            </w:tcBorders>
            <w:shd w:val="clear" w:color="auto" w:fill="auto"/>
            <w:noWrap/>
            <w:vAlign w:val="bottom"/>
            <w:hideMark/>
          </w:tcPr>
          <w:p w14:paraId="24F3A1EC"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9F1FAFE" w14:textId="77777777" w:rsidTr="00C7402B">
        <w:tc>
          <w:tcPr>
            <w:tcW w:w="10773" w:type="dxa"/>
            <w:tcBorders>
              <w:top w:val="nil"/>
              <w:left w:val="nil"/>
              <w:bottom w:val="nil"/>
              <w:right w:val="nil"/>
            </w:tcBorders>
            <w:shd w:val="clear" w:color="auto" w:fill="auto"/>
            <w:noWrap/>
            <w:vAlign w:val="bottom"/>
            <w:hideMark/>
          </w:tcPr>
          <w:p w14:paraId="239E2116" w14:textId="77777777" w:rsidR="006F46E4" w:rsidRPr="006F46E4" w:rsidRDefault="006F46E4" w:rsidP="006F46E4">
            <w:pPr>
              <w:spacing w:after="0" w:line="240" w:lineRule="auto"/>
              <w:rPr>
                <w:rFonts w:eastAsia="Times New Roman" w:cstheme="minorHAnsi"/>
                <w:color w:val="000000"/>
                <w:sz w:val="15"/>
                <w:szCs w:val="15"/>
                <w:lang w:eastAsia="cs-CZ"/>
              </w:rPr>
            </w:pPr>
          </w:p>
        </w:tc>
        <w:tc>
          <w:tcPr>
            <w:tcW w:w="709" w:type="dxa"/>
            <w:tcBorders>
              <w:top w:val="nil"/>
              <w:left w:val="nil"/>
              <w:bottom w:val="nil"/>
              <w:right w:val="nil"/>
            </w:tcBorders>
            <w:shd w:val="clear" w:color="auto" w:fill="auto"/>
            <w:noWrap/>
            <w:vAlign w:val="bottom"/>
            <w:hideMark/>
          </w:tcPr>
          <w:p w14:paraId="046808AF" w14:textId="77777777" w:rsidR="006F46E4" w:rsidRPr="006F46E4" w:rsidRDefault="006F46E4" w:rsidP="006F46E4">
            <w:pPr>
              <w:spacing w:after="0" w:line="240" w:lineRule="auto"/>
              <w:rPr>
                <w:rFonts w:eastAsia="Times New Roman" w:cstheme="minorHAnsi"/>
                <w:sz w:val="15"/>
                <w:szCs w:val="15"/>
                <w:lang w:eastAsia="cs-CZ"/>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21E430"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C0020</w:t>
            </w:r>
          </w:p>
        </w:tc>
        <w:tc>
          <w:tcPr>
            <w:tcW w:w="1842" w:type="dxa"/>
            <w:tcBorders>
              <w:top w:val="nil"/>
              <w:left w:val="nil"/>
              <w:bottom w:val="single" w:sz="4" w:space="0" w:color="auto"/>
              <w:right w:val="single" w:sz="4" w:space="0" w:color="auto"/>
            </w:tcBorders>
            <w:shd w:val="clear" w:color="auto" w:fill="auto"/>
            <w:noWrap/>
            <w:vAlign w:val="bottom"/>
            <w:hideMark/>
          </w:tcPr>
          <w:p w14:paraId="7D3BCB44"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C0180</w:t>
            </w:r>
          </w:p>
        </w:tc>
      </w:tr>
      <w:tr w:rsidR="00C7402B" w:rsidRPr="006F46E4" w14:paraId="4B470440" w14:textId="77777777" w:rsidTr="00C7402B">
        <w:tc>
          <w:tcPr>
            <w:tcW w:w="10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D5E3"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vypočítané jako celek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B849CA"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R0010</w:t>
            </w:r>
          </w:p>
        </w:tc>
        <w:tc>
          <w:tcPr>
            <w:tcW w:w="1985" w:type="dxa"/>
            <w:tcBorders>
              <w:top w:val="nil"/>
              <w:left w:val="nil"/>
              <w:bottom w:val="single" w:sz="4" w:space="0" w:color="auto"/>
              <w:right w:val="single" w:sz="4" w:space="0" w:color="auto"/>
            </w:tcBorders>
            <w:shd w:val="clear" w:color="000000" w:fill="FFFFFF"/>
            <w:noWrap/>
            <w:vAlign w:val="bottom"/>
            <w:hideMark/>
          </w:tcPr>
          <w:p w14:paraId="2DF3D2E7"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DEEBFF5"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7381302"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E7AFAF7" w14:textId="77777777" w:rsidR="006F46E4" w:rsidRPr="006F46E4" w:rsidRDefault="006F46E4" w:rsidP="006F46E4">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Přímé pojištění</w:t>
            </w:r>
          </w:p>
        </w:tc>
        <w:tc>
          <w:tcPr>
            <w:tcW w:w="709" w:type="dxa"/>
            <w:tcBorders>
              <w:top w:val="nil"/>
              <w:left w:val="nil"/>
              <w:bottom w:val="single" w:sz="4" w:space="0" w:color="auto"/>
              <w:right w:val="single" w:sz="4" w:space="0" w:color="auto"/>
            </w:tcBorders>
            <w:shd w:val="clear" w:color="auto" w:fill="auto"/>
            <w:noWrap/>
            <w:vAlign w:val="bottom"/>
            <w:hideMark/>
          </w:tcPr>
          <w:p w14:paraId="4EFACF43"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R0020</w:t>
            </w:r>
          </w:p>
        </w:tc>
        <w:tc>
          <w:tcPr>
            <w:tcW w:w="1985" w:type="dxa"/>
            <w:tcBorders>
              <w:top w:val="nil"/>
              <w:left w:val="nil"/>
              <w:bottom w:val="single" w:sz="4" w:space="0" w:color="auto"/>
              <w:right w:val="single" w:sz="4" w:space="0" w:color="auto"/>
            </w:tcBorders>
            <w:shd w:val="clear" w:color="000000" w:fill="FFFFFF"/>
            <w:noWrap/>
            <w:vAlign w:val="bottom"/>
            <w:hideMark/>
          </w:tcPr>
          <w:p w14:paraId="06EE2F29"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A93E7FF"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33D8451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D3DE075" w14:textId="77777777" w:rsidR="006F46E4" w:rsidRPr="006F46E4" w:rsidRDefault="006F46E4" w:rsidP="006F46E4">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Přijaté 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29D8D334"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R0030</w:t>
            </w:r>
          </w:p>
        </w:tc>
        <w:tc>
          <w:tcPr>
            <w:tcW w:w="1985" w:type="dxa"/>
            <w:tcBorders>
              <w:top w:val="nil"/>
              <w:left w:val="nil"/>
              <w:bottom w:val="single" w:sz="4" w:space="0" w:color="auto"/>
              <w:right w:val="single" w:sz="4" w:space="0" w:color="auto"/>
            </w:tcBorders>
            <w:shd w:val="clear" w:color="000000" w:fill="FFFFFF"/>
            <w:noWrap/>
            <w:vAlign w:val="bottom"/>
            <w:hideMark/>
          </w:tcPr>
          <w:p w14:paraId="7E2B3E8A"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C0B2D5E"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5661BC1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ADF6A4F" w14:textId="77777777" w:rsidR="006F46E4" w:rsidRPr="006F46E4" w:rsidRDefault="006F46E4" w:rsidP="006F46E4">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Přijaté neproporcionální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37FE2234"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R0040</w:t>
            </w:r>
          </w:p>
        </w:tc>
        <w:tc>
          <w:tcPr>
            <w:tcW w:w="1985" w:type="dxa"/>
            <w:tcBorders>
              <w:top w:val="nil"/>
              <w:left w:val="nil"/>
              <w:bottom w:val="single" w:sz="4" w:space="0" w:color="auto"/>
              <w:right w:val="single" w:sz="4" w:space="0" w:color="auto"/>
            </w:tcBorders>
            <w:shd w:val="clear" w:color="000000" w:fill="BFBFBF"/>
            <w:noWrap/>
            <w:vAlign w:val="bottom"/>
            <w:hideMark/>
          </w:tcPr>
          <w:p w14:paraId="2B730600"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6B9F10F"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239CFF6"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E79B111"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výše částek vymahatelných ze zajištění / zvláštních účelových jednotek a z finitního zajištění po úpravě o očekávanou ztrátu danou selháním protistrany v souvislosti s technickými rezervami vypočtenými jako celek</w:t>
            </w:r>
          </w:p>
        </w:tc>
        <w:tc>
          <w:tcPr>
            <w:tcW w:w="709" w:type="dxa"/>
            <w:tcBorders>
              <w:top w:val="nil"/>
              <w:left w:val="nil"/>
              <w:bottom w:val="single" w:sz="4" w:space="0" w:color="auto"/>
              <w:right w:val="single" w:sz="4" w:space="0" w:color="auto"/>
            </w:tcBorders>
            <w:shd w:val="clear" w:color="auto" w:fill="auto"/>
            <w:noWrap/>
            <w:vAlign w:val="bottom"/>
            <w:hideMark/>
          </w:tcPr>
          <w:p w14:paraId="1D8ADCE7"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R0050</w:t>
            </w:r>
          </w:p>
        </w:tc>
        <w:tc>
          <w:tcPr>
            <w:tcW w:w="1985" w:type="dxa"/>
            <w:tcBorders>
              <w:top w:val="nil"/>
              <w:left w:val="nil"/>
              <w:bottom w:val="single" w:sz="4" w:space="0" w:color="auto"/>
              <w:right w:val="single" w:sz="4" w:space="0" w:color="auto"/>
            </w:tcBorders>
            <w:shd w:val="clear" w:color="000000" w:fill="FFFFFF"/>
            <w:noWrap/>
            <w:vAlign w:val="bottom"/>
            <w:hideMark/>
          </w:tcPr>
          <w:p w14:paraId="734949FB"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DA807A3"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B7A6296"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EEBB861"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vypočítané jako součet nejlepšího odhadu a rizikové přirážky</w:t>
            </w:r>
          </w:p>
        </w:tc>
        <w:tc>
          <w:tcPr>
            <w:tcW w:w="709" w:type="dxa"/>
            <w:tcBorders>
              <w:top w:val="nil"/>
              <w:left w:val="nil"/>
              <w:bottom w:val="single" w:sz="4" w:space="0" w:color="auto"/>
              <w:right w:val="single" w:sz="4" w:space="0" w:color="auto"/>
            </w:tcBorders>
            <w:shd w:val="clear" w:color="auto" w:fill="auto"/>
            <w:noWrap/>
            <w:vAlign w:val="bottom"/>
            <w:hideMark/>
          </w:tcPr>
          <w:p w14:paraId="440D3AED"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4A9A8032"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2434DFCC"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2970006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124E74A" w14:textId="77777777" w:rsidR="006F46E4" w:rsidRPr="006F46E4" w:rsidRDefault="006F46E4" w:rsidP="006F46E4">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Nejlepší odhad</w:t>
            </w:r>
          </w:p>
        </w:tc>
        <w:tc>
          <w:tcPr>
            <w:tcW w:w="709" w:type="dxa"/>
            <w:tcBorders>
              <w:top w:val="nil"/>
              <w:left w:val="nil"/>
              <w:bottom w:val="single" w:sz="4" w:space="0" w:color="auto"/>
              <w:right w:val="single" w:sz="4" w:space="0" w:color="auto"/>
            </w:tcBorders>
            <w:shd w:val="clear" w:color="auto" w:fill="auto"/>
            <w:noWrap/>
            <w:vAlign w:val="bottom"/>
            <w:hideMark/>
          </w:tcPr>
          <w:p w14:paraId="3FC9D0B5"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3C588CE4"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2C21D834"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2A5B177E"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8CC747E" w14:textId="77777777" w:rsidR="006F46E4" w:rsidRPr="006F46E4" w:rsidRDefault="006F46E4" w:rsidP="006F46E4">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Rezervy na pojistné</w:t>
            </w:r>
          </w:p>
        </w:tc>
        <w:tc>
          <w:tcPr>
            <w:tcW w:w="709" w:type="dxa"/>
            <w:tcBorders>
              <w:top w:val="nil"/>
              <w:left w:val="nil"/>
              <w:bottom w:val="single" w:sz="4" w:space="0" w:color="auto"/>
              <w:right w:val="single" w:sz="4" w:space="0" w:color="auto"/>
            </w:tcBorders>
            <w:shd w:val="clear" w:color="auto" w:fill="auto"/>
            <w:noWrap/>
            <w:vAlign w:val="bottom"/>
            <w:hideMark/>
          </w:tcPr>
          <w:p w14:paraId="669DD006" w14:textId="77777777" w:rsidR="006F46E4" w:rsidRPr="006F46E4" w:rsidRDefault="006F46E4" w:rsidP="006F46E4">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4F42769B"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43CCFEE3" w14:textId="77777777" w:rsidR="006F46E4" w:rsidRPr="006F46E4" w:rsidRDefault="006F46E4" w:rsidP="006F46E4">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211B283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3A10C20"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celkem</w:t>
            </w:r>
          </w:p>
        </w:tc>
        <w:tc>
          <w:tcPr>
            <w:tcW w:w="709" w:type="dxa"/>
            <w:tcBorders>
              <w:top w:val="nil"/>
              <w:left w:val="nil"/>
              <w:bottom w:val="single" w:sz="4" w:space="0" w:color="auto"/>
              <w:right w:val="single" w:sz="4" w:space="0" w:color="auto"/>
            </w:tcBorders>
            <w:shd w:val="clear" w:color="auto" w:fill="auto"/>
            <w:noWrap/>
            <w:vAlign w:val="bottom"/>
            <w:hideMark/>
          </w:tcPr>
          <w:p w14:paraId="545AE8D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R0060</w:t>
            </w:r>
          </w:p>
        </w:tc>
        <w:tc>
          <w:tcPr>
            <w:tcW w:w="1985" w:type="dxa"/>
            <w:tcBorders>
              <w:top w:val="nil"/>
              <w:left w:val="nil"/>
              <w:bottom w:val="single" w:sz="4" w:space="0" w:color="auto"/>
              <w:right w:val="single" w:sz="4" w:space="0" w:color="auto"/>
            </w:tcBorders>
            <w:shd w:val="clear" w:color="000000" w:fill="FFFFFF"/>
            <w:noWrap/>
            <w:vAlign w:val="bottom"/>
            <w:hideMark/>
          </w:tcPr>
          <w:p w14:paraId="3EA24E73" w14:textId="76AB8538"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1 804 165</w:t>
            </w:r>
          </w:p>
        </w:tc>
        <w:tc>
          <w:tcPr>
            <w:tcW w:w="1842" w:type="dxa"/>
            <w:tcBorders>
              <w:top w:val="nil"/>
              <w:left w:val="nil"/>
              <w:bottom w:val="single" w:sz="4" w:space="0" w:color="auto"/>
              <w:right w:val="single" w:sz="4" w:space="0" w:color="auto"/>
            </w:tcBorders>
            <w:shd w:val="clear" w:color="000000" w:fill="FFFFFF"/>
            <w:noWrap/>
            <w:vAlign w:val="bottom"/>
            <w:hideMark/>
          </w:tcPr>
          <w:p w14:paraId="73A8784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1 804 165</w:t>
            </w:r>
          </w:p>
        </w:tc>
      </w:tr>
      <w:tr w:rsidR="00C7402B" w:rsidRPr="006F46E4" w14:paraId="67227C04"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9E29987"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přímé pojištění</w:t>
            </w:r>
          </w:p>
        </w:tc>
        <w:tc>
          <w:tcPr>
            <w:tcW w:w="709" w:type="dxa"/>
            <w:tcBorders>
              <w:top w:val="nil"/>
              <w:left w:val="nil"/>
              <w:bottom w:val="single" w:sz="4" w:space="0" w:color="auto"/>
              <w:right w:val="single" w:sz="4" w:space="0" w:color="auto"/>
            </w:tcBorders>
            <w:shd w:val="clear" w:color="auto" w:fill="auto"/>
            <w:noWrap/>
            <w:vAlign w:val="bottom"/>
            <w:hideMark/>
          </w:tcPr>
          <w:p w14:paraId="752897D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R0070</w:t>
            </w:r>
          </w:p>
        </w:tc>
        <w:tc>
          <w:tcPr>
            <w:tcW w:w="1985" w:type="dxa"/>
            <w:tcBorders>
              <w:top w:val="nil"/>
              <w:left w:val="nil"/>
              <w:bottom w:val="single" w:sz="4" w:space="0" w:color="auto"/>
              <w:right w:val="single" w:sz="4" w:space="0" w:color="auto"/>
            </w:tcBorders>
            <w:shd w:val="clear" w:color="000000" w:fill="FFFFFF"/>
            <w:noWrap/>
            <w:vAlign w:val="bottom"/>
            <w:hideMark/>
          </w:tcPr>
          <w:p w14:paraId="315553F1" w14:textId="28AF813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1 804 165</w:t>
            </w:r>
          </w:p>
        </w:tc>
        <w:tc>
          <w:tcPr>
            <w:tcW w:w="1842" w:type="dxa"/>
            <w:tcBorders>
              <w:top w:val="nil"/>
              <w:left w:val="nil"/>
              <w:bottom w:val="single" w:sz="4" w:space="0" w:color="auto"/>
              <w:right w:val="single" w:sz="4" w:space="0" w:color="auto"/>
            </w:tcBorders>
            <w:shd w:val="clear" w:color="000000" w:fill="FFFFFF"/>
            <w:noWrap/>
            <w:vAlign w:val="bottom"/>
            <w:hideMark/>
          </w:tcPr>
          <w:p w14:paraId="318219BF"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1 804 165</w:t>
            </w:r>
          </w:p>
        </w:tc>
      </w:tr>
      <w:tr w:rsidR="00C7402B" w:rsidRPr="006F46E4" w14:paraId="6526B66F"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0FC982B"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přijaté 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656686F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R0080</w:t>
            </w:r>
          </w:p>
        </w:tc>
        <w:tc>
          <w:tcPr>
            <w:tcW w:w="1985" w:type="dxa"/>
            <w:tcBorders>
              <w:top w:val="nil"/>
              <w:left w:val="nil"/>
              <w:bottom w:val="single" w:sz="4" w:space="0" w:color="auto"/>
              <w:right w:val="single" w:sz="4" w:space="0" w:color="auto"/>
            </w:tcBorders>
            <w:shd w:val="clear" w:color="000000" w:fill="FFFFFF"/>
            <w:noWrap/>
            <w:vAlign w:val="bottom"/>
            <w:hideMark/>
          </w:tcPr>
          <w:p w14:paraId="29553176" w14:textId="32F8A4B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457536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29833223"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931A661"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přijaté neproporcionální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20C899D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R0090</w:t>
            </w:r>
          </w:p>
        </w:tc>
        <w:tc>
          <w:tcPr>
            <w:tcW w:w="1985" w:type="dxa"/>
            <w:tcBorders>
              <w:top w:val="nil"/>
              <w:left w:val="nil"/>
              <w:bottom w:val="single" w:sz="4" w:space="0" w:color="auto"/>
              <w:right w:val="single" w:sz="4" w:space="0" w:color="auto"/>
            </w:tcBorders>
            <w:shd w:val="clear" w:color="000000" w:fill="BFBFBF"/>
            <w:noWrap/>
            <w:vAlign w:val="bottom"/>
            <w:hideMark/>
          </w:tcPr>
          <w:p w14:paraId="4AC30607" w14:textId="41F5A5DF"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36CB1F7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5D20BCAD"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9271FA4"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výše částek vymahatelných ze zajištění / zvláštních účelových jednotek a z finitního zajištění před úpravou o očekávanou ztrátu danou selháním protistrany</w:t>
            </w:r>
          </w:p>
        </w:tc>
        <w:tc>
          <w:tcPr>
            <w:tcW w:w="709" w:type="dxa"/>
            <w:tcBorders>
              <w:top w:val="nil"/>
              <w:left w:val="nil"/>
              <w:bottom w:val="single" w:sz="4" w:space="0" w:color="auto"/>
              <w:right w:val="single" w:sz="4" w:space="0" w:color="auto"/>
            </w:tcBorders>
            <w:shd w:val="clear" w:color="auto" w:fill="auto"/>
            <w:noWrap/>
            <w:vAlign w:val="bottom"/>
            <w:hideMark/>
          </w:tcPr>
          <w:p w14:paraId="5CF58F8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R0100</w:t>
            </w:r>
          </w:p>
        </w:tc>
        <w:tc>
          <w:tcPr>
            <w:tcW w:w="1985" w:type="dxa"/>
            <w:tcBorders>
              <w:top w:val="nil"/>
              <w:left w:val="nil"/>
              <w:bottom w:val="single" w:sz="4" w:space="0" w:color="auto"/>
              <w:right w:val="single" w:sz="4" w:space="0" w:color="auto"/>
            </w:tcBorders>
            <w:shd w:val="clear" w:color="000000" w:fill="FFFFFF"/>
            <w:noWrap/>
            <w:vAlign w:val="bottom"/>
            <w:hideMark/>
          </w:tcPr>
          <w:p w14:paraId="538FE351" w14:textId="1A112ED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-239 427</w:t>
            </w:r>
          </w:p>
        </w:tc>
        <w:tc>
          <w:tcPr>
            <w:tcW w:w="1842" w:type="dxa"/>
            <w:tcBorders>
              <w:top w:val="nil"/>
              <w:left w:val="nil"/>
              <w:bottom w:val="single" w:sz="4" w:space="0" w:color="auto"/>
              <w:right w:val="single" w:sz="4" w:space="0" w:color="auto"/>
            </w:tcBorders>
            <w:shd w:val="clear" w:color="000000" w:fill="FFFFFF"/>
            <w:noWrap/>
            <w:vAlign w:val="bottom"/>
            <w:hideMark/>
          </w:tcPr>
          <w:p w14:paraId="521079E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-239 427</w:t>
            </w:r>
          </w:p>
        </w:tc>
      </w:tr>
      <w:tr w:rsidR="00C7402B" w:rsidRPr="006F46E4" w14:paraId="344DEE7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BF31010"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Částky vymahatelné ze zajištění (kromě zvláštních účelových jednotek a finitního zajištění) před úpravou o očekávanou ztrátu</w:t>
            </w:r>
          </w:p>
        </w:tc>
        <w:tc>
          <w:tcPr>
            <w:tcW w:w="709" w:type="dxa"/>
            <w:tcBorders>
              <w:top w:val="nil"/>
              <w:left w:val="nil"/>
              <w:bottom w:val="single" w:sz="4" w:space="0" w:color="auto"/>
              <w:right w:val="single" w:sz="4" w:space="0" w:color="auto"/>
            </w:tcBorders>
            <w:shd w:val="clear" w:color="auto" w:fill="auto"/>
            <w:noWrap/>
            <w:vAlign w:val="bottom"/>
            <w:hideMark/>
          </w:tcPr>
          <w:p w14:paraId="46BC202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R0110</w:t>
            </w:r>
          </w:p>
        </w:tc>
        <w:tc>
          <w:tcPr>
            <w:tcW w:w="1985" w:type="dxa"/>
            <w:tcBorders>
              <w:top w:val="nil"/>
              <w:left w:val="nil"/>
              <w:bottom w:val="single" w:sz="4" w:space="0" w:color="auto"/>
              <w:right w:val="single" w:sz="4" w:space="0" w:color="auto"/>
            </w:tcBorders>
            <w:shd w:val="clear" w:color="000000" w:fill="FFFFFF"/>
            <w:noWrap/>
            <w:vAlign w:val="bottom"/>
            <w:hideMark/>
          </w:tcPr>
          <w:p w14:paraId="3A29AEE4" w14:textId="490FF06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6C2721F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3169FFFA"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CC25C38"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Vymahatelné částky ze zvláštních účelových jednotek před úpravou podle očekávaných ztrát</w:t>
            </w:r>
          </w:p>
        </w:tc>
        <w:tc>
          <w:tcPr>
            <w:tcW w:w="709" w:type="dxa"/>
            <w:tcBorders>
              <w:top w:val="nil"/>
              <w:left w:val="nil"/>
              <w:bottom w:val="single" w:sz="4" w:space="0" w:color="auto"/>
              <w:right w:val="single" w:sz="4" w:space="0" w:color="auto"/>
            </w:tcBorders>
            <w:shd w:val="clear" w:color="auto" w:fill="auto"/>
            <w:noWrap/>
            <w:vAlign w:val="bottom"/>
            <w:hideMark/>
          </w:tcPr>
          <w:p w14:paraId="3758960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R0120</w:t>
            </w:r>
          </w:p>
        </w:tc>
        <w:tc>
          <w:tcPr>
            <w:tcW w:w="1985" w:type="dxa"/>
            <w:tcBorders>
              <w:top w:val="nil"/>
              <w:left w:val="nil"/>
              <w:bottom w:val="single" w:sz="4" w:space="0" w:color="auto"/>
              <w:right w:val="single" w:sz="4" w:space="0" w:color="auto"/>
            </w:tcBorders>
            <w:shd w:val="clear" w:color="000000" w:fill="FFFFFF"/>
            <w:noWrap/>
            <w:vAlign w:val="bottom"/>
            <w:hideMark/>
          </w:tcPr>
          <w:p w14:paraId="5C806189" w14:textId="365138F9"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-239 427</w:t>
            </w:r>
          </w:p>
        </w:tc>
        <w:tc>
          <w:tcPr>
            <w:tcW w:w="1842" w:type="dxa"/>
            <w:tcBorders>
              <w:top w:val="nil"/>
              <w:left w:val="nil"/>
              <w:bottom w:val="single" w:sz="4" w:space="0" w:color="auto"/>
              <w:right w:val="single" w:sz="4" w:space="0" w:color="auto"/>
            </w:tcBorders>
            <w:shd w:val="clear" w:color="000000" w:fill="FFFFFF"/>
            <w:noWrap/>
            <w:vAlign w:val="bottom"/>
            <w:hideMark/>
          </w:tcPr>
          <w:p w14:paraId="442A9A3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-239 427</w:t>
            </w:r>
          </w:p>
        </w:tc>
      </w:tr>
      <w:tr w:rsidR="00C7402B" w:rsidRPr="006F46E4" w14:paraId="4E1EFC5E"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A8DD9CF"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Vymahatelné částky z finitního zajištění před úpravou podle očekávaných ztrát</w:t>
            </w:r>
          </w:p>
        </w:tc>
        <w:tc>
          <w:tcPr>
            <w:tcW w:w="709" w:type="dxa"/>
            <w:tcBorders>
              <w:top w:val="nil"/>
              <w:left w:val="nil"/>
              <w:bottom w:val="single" w:sz="4" w:space="0" w:color="auto"/>
              <w:right w:val="single" w:sz="4" w:space="0" w:color="auto"/>
            </w:tcBorders>
            <w:shd w:val="clear" w:color="auto" w:fill="auto"/>
            <w:noWrap/>
            <w:vAlign w:val="bottom"/>
            <w:hideMark/>
          </w:tcPr>
          <w:p w14:paraId="3EE9B8AF"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R0130</w:t>
            </w:r>
          </w:p>
        </w:tc>
        <w:tc>
          <w:tcPr>
            <w:tcW w:w="1985" w:type="dxa"/>
            <w:tcBorders>
              <w:top w:val="nil"/>
              <w:left w:val="nil"/>
              <w:bottom w:val="single" w:sz="4" w:space="0" w:color="auto"/>
              <w:right w:val="single" w:sz="4" w:space="0" w:color="auto"/>
            </w:tcBorders>
            <w:shd w:val="clear" w:color="000000" w:fill="FFFFFF"/>
            <w:noWrap/>
            <w:vAlign w:val="bottom"/>
            <w:hideMark/>
          </w:tcPr>
          <w:p w14:paraId="275EED4A" w14:textId="51CA395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FC1EFF1"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028C4EA"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5C479E4"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výše částek vymahatelných ze zajištění / zvláštních účelových jednotek a z finitního zajištění po úpravě o očekávanou ztrátu danou selháním protistrany</w:t>
            </w:r>
          </w:p>
        </w:tc>
        <w:tc>
          <w:tcPr>
            <w:tcW w:w="709" w:type="dxa"/>
            <w:tcBorders>
              <w:top w:val="nil"/>
              <w:left w:val="nil"/>
              <w:bottom w:val="single" w:sz="4" w:space="0" w:color="auto"/>
              <w:right w:val="single" w:sz="4" w:space="0" w:color="auto"/>
            </w:tcBorders>
            <w:shd w:val="clear" w:color="auto" w:fill="auto"/>
            <w:noWrap/>
            <w:vAlign w:val="bottom"/>
            <w:hideMark/>
          </w:tcPr>
          <w:p w14:paraId="2D84EE3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R0140</w:t>
            </w:r>
          </w:p>
        </w:tc>
        <w:tc>
          <w:tcPr>
            <w:tcW w:w="1985" w:type="dxa"/>
            <w:tcBorders>
              <w:top w:val="nil"/>
              <w:left w:val="nil"/>
              <w:bottom w:val="single" w:sz="4" w:space="0" w:color="auto"/>
              <w:right w:val="single" w:sz="4" w:space="0" w:color="auto"/>
            </w:tcBorders>
            <w:shd w:val="clear" w:color="000000" w:fill="FFFFFF"/>
            <w:noWrap/>
            <w:vAlign w:val="bottom"/>
            <w:hideMark/>
          </w:tcPr>
          <w:p w14:paraId="5FB31A94" w14:textId="006DB74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-239 427</w:t>
            </w:r>
          </w:p>
        </w:tc>
        <w:tc>
          <w:tcPr>
            <w:tcW w:w="1842" w:type="dxa"/>
            <w:tcBorders>
              <w:top w:val="nil"/>
              <w:left w:val="nil"/>
              <w:bottom w:val="single" w:sz="4" w:space="0" w:color="auto"/>
              <w:right w:val="single" w:sz="4" w:space="0" w:color="auto"/>
            </w:tcBorders>
            <w:shd w:val="clear" w:color="000000" w:fill="FFFFFF"/>
            <w:noWrap/>
            <w:vAlign w:val="bottom"/>
            <w:hideMark/>
          </w:tcPr>
          <w:p w14:paraId="750F89D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-239 427</w:t>
            </w:r>
          </w:p>
        </w:tc>
      </w:tr>
      <w:tr w:rsidR="00C7402B" w:rsidRPr="006F46E4" w14:paraId="3D2EECF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1738EB"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Čistý nejlepší odhad rezerv na pojistné</w:t>
            </w:r>
          </w:p>
        </w:tc>
        <w:tc>
          <w:tcPr>
            <w:tcW w:w="709" w:type="dxa"/>
            <w:tcBorders>
              <w:top w:val="nil"/>
              <w:left w:val="nil"/>
              <w:bottom w:val="single" w:sz="4" w:space="0" w:color="auto"/>
              <w:right w:val="single" w:sz="4" w:space="0" w:color="auto"/>
            </w:tcBorders>
            <w:shd w:val="clear" w:color="auto" w:fill="auto"/>
            <w:noWrap/>
            <w:vAlign w:val="bottom"/>
            <w:hideMark/>
          </w:tcPr>
          <w:p w14:paraId="00EF8F9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R0150</w:t>
            </w:r>
          </w:p>
        </w:tc>
        <w:tc>
          <w:tcPr>
            <w:tcW w:w="1985" w:type="dxa"/>
            <w:tcBorders>
              <w:top w:val="nil"/>
              <w:left w:val="nil"/>
              <w:bottom w:val="single" w:sz="4" w:space="0" w:color="auto"/>
              <w:right w:val="single" w:sz="4" w:space="0" w:color="auto"/>
            </w:tcBorders>
            <w:shd w:val="clear" w:color="000000" w:fill="FFFFFF"/>
            <w:noWrap/>
            <w:vAlign w:val="bottom"/>
            <w:hideMark/>
          </w:tcPr>
          <w:p w14:paraId="0163CC14" w14:textId="41CB02AA"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2 043 592</w:t>
            </w:r>
          </w:p>
        </w:tc>
        <w:tc>
          <w:tcPr>
            <w:tcW w:w="1842" w:type="dxa"/>
            <w:tcBorders>
              <w:top w:val="nil"/>
              <w:left w:val="nil"/>
              <w:bottom w:val="single" w:sz="4" w:space="0" w:color="auto"/>
              <w:right w:val="single" w:sz="4" w:space="0" w:color="auto"/>
            </w:tcBorders>
            <w:shd w:val="clear" w:color="000000" w:fill="FFFFFF"/>
            <w:noWrap/>
            <w:vAlign w:val="bottom"/>
            <w:hideMark/>
          </w:tcPr>
          <w:p w14:paraId="6C98CE4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2 043 592</w:t>
            </w:r>
          </w:p>
        </w:tc>
      </w:tr>
      <w:tr w:rsidR="00C7402B" w:rsidRPr="006F46E4" w14:paraId="5D5332C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C45CFF8"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Rezervy na nároky</w:t>
            </w:r>
          </w:p>
        </w:tc>
        <w:tc>
          <w:tcPr>
            <w:tcW w:w="709" w:type="dxa"/>
            <w:tcBorders>
              <w:top w:val="nil"/>
              <w:left w:val="nil"/>
              <w:bottom w:val="single" w:sz="4" w:space="0" w:color="auto"/>
              <w:right w:val="single" w:sz="4" w:space="0" w:color="auto"/>
            </w:tcBorders>
            <w:shd w:val="clear" w:color="auto" w:fill="auto"/>
            <w:noWrap/>
            <w:vAlign w:val="bottom"/>
            <w:hideMark/>
          </w:tcPr>
          <w:p w14:paraId="2D4829D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44793721" w14:textId="2D61DDD3"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7944BEA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4005B97B"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BD01751"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celkem</w:t>
            </w:r>
          </w:p>
        </w:tc>
        <w:tc>
          <w:tcPr>
            <w:tcW w:w="709" w:type="dxa"/>
            <w:tcBorders>
              <w:top w:val="nil"/>
              <w:left w:val="nil"/>
              <w:bottom w:val="single" w:sz="4" w:space="0" w:color="auto"/>
              <w:right w:val="single" w:sz="4" w:space="0" w:color="auto"/>
            </w:tcBorders>
            <w:shd w:val="clear" w:color="auto" w:fill="auto"/>
            <w:noWrap/>
            <w:vAlign w:val="bottom"/>
            <w:hideMark/>
          </w:tcPr>
          <w:p w14:paraId="591B778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R0160</w:t>
            </w:r>
          </w:p>
        </w:tc>
        <w:tc>
          <w:tcPr>
            <w:tcW w:w="1985" w:type="dxa"/>
            <w:tcBorders>
              <w:top w:val="nil"/>
              <w:left w:val="nil"/>
              <w:bottom w:val="single" w:sz="4" w:space="0" w:color="auto"/>
              <w:right w:val="single" w:sz="4" w:space="0" w:color="auto"/>
            </w:tcBorders>
            <w:shd w:val="clear" w:color="000000" w:fill="FFFFFF"/>
            <w:noWrap/>
            <w:vAlign w:val="bottom"/>
            <w:hideMark/>
          </w:tcPr>
          <w:p w14:paraId="0DC4A473" w14:textId="58E312C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6 779 967</w:t>
            </w:r>
          </w:p>
        </w:tc>
        <w:tc>
          <w:tcPr>
            <w:tcW w:w="1842" w:type="dxa"/>
            <w:tcBorders>
              <w:top w:val="nil"/>
              <w:left w:val="nil"/>
              <w:bottom w:val="single" w:sz="4" w:space="0" w:color="auto"/>
              <w:right w:val="single" w:sz="4" w:space="0" w:color="auto"/>
            </w:tcBorders>
            <w:shd w:val="clear" w:color="000000" w:fill="FFFFFF"/>
            <w:noWrap/>
            <w:vAlign w:val="bottom"/>
            <w:hideMark/>
          </w:tcPr>
          <w:p w14:paraId="4BE58AA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6 779 967</w:t>
            </w:r>
          </w:p>
        </w:tc>
      </w:tr>
      <w:tr w:rsidR="00C7402B" w:rsidRPr="006F46E4" w14:paraId="25ACF8E3"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6A98B16"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přímé pojištění</w:t>
            </w:r>
          </w:p>
        </w:tc>
        <w:tc>
          <w:tcPr>
            <w:tcW w:w="709" w:type="dxa"/>
            <w:tcBorders>
              <w:top w:val="nil"/>
              <w:left w:val="nil"/>
              <w:bottom w:val="single" w:sz="4" w:space="0" w:color="auto"/>
              <w:right w:val="single" w:sz="4" w:space="0" w:color="auto"/>
            </w:tcBorders>
            <w:shd w:val="clear" w:color="auto" w:fill="auto"/>
            <w:noWrap/>
            <w:vAlign w:val="bottom"/>
            <w:hideMark/>
          </w:tcPr>
          <w:p w14:paraId="214997F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R0170</w:t>
            </w:r>
          </w:p>
        </w:tc>
        <w:tc>
          <w:tcPr>
            <w:tcW w:w="1985" w:type="dxa"/>
            <w:tcBorders>
              <w:top w:val="nil"/>
              <w:left w:val="nil"/>
              <w:bottom w:val="single" w:sz="4" w:space="0" w:color="auto"/>
              <w:right w:val="single" w:sz="4" w:space="0" w:color="auto"/>
            </w:tcBorders>
            <w:shd w:val="clear" w:color="000000" w:fill="FFFFFF"/>
            <w:noWrap/>
            <w:vAlign w:val="bottom"/>
            <w:hideMark/>
          </w:tcPr>
          <w:p w14:paraId="1F56E74C" w14:textId="257ACF6A"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6 779 967</w:t>
            </w:r>
          </w:p>
        </w:tc>
        <w:tc>
          <w:tcPr>
            <w:tcW w:w="1842" w:type="dxa"/>
            <w:tcBorders>
              <w:top w:val="nil"/>
              <w:left w:val="nil"/>
              <w:bottom w:val="single" w:sz="4" w:space="0" w:color="auto"/>
              <w:right w:val="single" w:sz="4" w:space="0" w:color="auto"/>
            </w:tcBorders>
            <w:shd w:val="clear" w:color="000000" w:fill="FFFFFF"/>
            <w:noWrap/>
            <w:vAlign w:val="bottom"/>
            <w:hideMark/>
          </w:tcPr>
          <w:p w14:paraId="63F413E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6 779 967</w:t>
            </w:r>
          </w:p>
        </w:tc>
      </w:tr>
      <w:tr w:rsidR="00C7402B" w:rsidRPr="006F46E4" w14:paraId="179E951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7D4E01F"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přijaté 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3CA7064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R0180</w:t>
            </w:r>
          </w:p>
        </w:tc>
        <w:tc>
          <w:tcPr>
            <w:tcW w:w="1985" w:type="dxa"/>
            <w:tcBorders>
              <w:top w:val="nil"/>
              <w:left w:val="nil"/>
              <w:bottom w:val="single" w:sz="4" w:space="0" w:color="auto"/>
              <w:right w:val="single" w:sz="4" w:space="0" w:color="auto"/>
            </w:tcBorders>
            <w:shd w:val="clear" w:color="000000" w:fill="FFFFFF"/>
            <w:noWrap/>
            <w:vAlign w:val="bottom"/>
            <w:hideMark/>
          </w:tcPr>
          <w:p w14:paraId="6EA916A1" w14:textId="3D95EA5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67D5FED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01FA5BB4"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CA470F"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Hrubá hodnota – přijaté neproporcionální zajištění</w:t>
            </w:r>
          </w:p>
        </w:tc>
        <w:tc>
          <w:tcPr>
            <w:tcW w:w="709" w:type="dxa"/>
            <w:tcBorders>
              <w:top w:val="nil"/>
              <w:left w:val="nil"/>
              <w:bottom w:val="single" w:sz="4" w:space="0" w:color="auto"/>
              <w:right w:val="single" w:sz="4" w:space="0" w:color="auto"/>
            </w:tcBorders>
            <w:shd w:val="clear" w:color="auto" w:fill="auto"/>
            <w:noWrap/>
            <w:vAlign w:val="bottom"/>
            <w:hideMark/>
          </w:tcPr>
          <w:p w14:paraId="2014CAA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R0190</w:t>
            </w:r>
          </w:p>
        </w:tc>
        <w:tc>
          <w:tcPr>
            <w:tcW w:w="1985" w:type="dxa"/>
            <w:tcBorders>
              <w:top w:val="nil"/>
              <w:left w:val="nil"/>
              <w:bottom w:val="single" w:sz="4" w:space="0" w:color="auto"/>
              <w:right w:val="single" w:sz="4" w:space="0" w:color="auto"/>
            </w:tcBorders>
            <w:shd w:val="clear" w:color="000000" w:fill="BFBFBF"/>
            <w:noWrap/>
            <w:vAlign w:val="bottom"/>
            <w:hideMark/>
          </w:tcPr>
          <w:p w14:paraId="58AFA8C8" w14:textId="65AEC620"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65EAF65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30232E95"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C9CBCE9"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výše částek vymahatelných ze zajištění / zvláštních účelových jednotek a z finitního zajištění před úpravou o očekávanou ztrátu danou selháním protistrany</w:t>
            </w:r>
          </w:p>
        </w:tc>
        <w:tc>
          <w:tcPr>
            <w:tcW w:w="709" w:type="dxa"/>
            <w:tcBorders>
              <w:top w:val="nil"/>
              <w:left w:val="nil"/>
              <w:bottom w:val="single" w:sz="4" w:space="0" w:color="auto"/>
              <w:right w:val="single" w:sz="4" w:space="0" w:color="auto"/>
            </w:tcBorders>
            <w:shd w:val="clear" w:color="auto" w:fill="auto"/>
            <w:noWrap/>
            <w:vAlign w:val="bottom"/>
            <w:hideMark/>
          </w:tcPr>
          <w:p w14:paraId="2408438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R0200</w:t>
            </w:r>
          </w:p>
        </w:tc>
        <w:tc>
          <w:tcPr>
            <w:tcW w:w="1985" w:type="dxa"/>
            <w:tcBorders>
              <w:top w:val="nil"/>
              <w:left w:val="nil"/>
              <w:bottom w:val="single" w:sz="4" w:space="0" w:color="auto"/>
              <w:right w:val="single" w:sz="4" w:space="0" w:color="auto"/>
            </w:tcBorders>
            <w:shd w:val="clear" w:color="000000" w:fill="FFFFFF"/>
            <w:noWrap/>
            <w:vAlign w:val="bottom"/>
            <w:hideMark/>
          </w:tcPr>
          <w:p w14:paraId="6C12D5B9" w14:textId="28C03EA5"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3 791 911</w:t>
            </w:r>
          </w:p>
        </w:tc>
        <w:tc>
          <w:tcPr>
            <w:tcW w:w="1842" w:type="dxa"/>
            <w:tcBorders>
              <w:top w:val="nil"/>
              <w:left w:val="nil"/>
              <w:bottom w:val="single" w:sz="4" w:space="0" w:color="auto"/>
              <w:right w:val="single" w:sz="4" w:space="0" w:color="auto"/>
            </w:tcBorders>
            <w:shd w:val="clear" w:color="000000" w:fill="FFFFFF"/>
            <w:noWrap/>
            <w:vAlign w:val="bottom"/>
            <w:hideMark/>
          </w:tcPr>
          <w:p w14:paraId="299E11F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3 791 911</w:t>
            </w:r>
          </w:p>
        </w:tc>
      </w:tr>
      <w:tr w:rsidR="00C7402B" w:rsidRPr="006F46E4" w14:paraId="52E9A0DC"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0BED069"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Částky vymahatelné ze zajištění (kromě zvláštních účelových jednotek a finitního zajištění) před úpravou o očekávanou ztrátu</w:t>
            </w:r>
          </w:p>
        </w:tc>
        <w:tc>
          <w:tcPr>
            <w:tcW w:w="709" w:type="dxa"/>
            <w:tcBorders>
              <w:top w:val="nil"/>
              <w:left w:val="nil"/>
              <w:bottom w:val="single" w:sz="4" w:space="0" w:color="auto"/>
              <w:right w:val="single" w:sz="4" w:space="0" w:color="auto"/>
            </w:tcBorders>
            <w:shd w:val="clear" w:color="auto" w:fill="auto"/>
            <w:noWrap/>
            <w:vAlign w:val="bottom"/>
            <w:hideMark/>
          </w:tcPr>
          <w:p w14:paraId="434E3485"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R0210</w:t>
            </w:r>
          </w:p>
        </w:tc>
        <w:tc>
          <w:tcPr>
            <w:tcW w:w="1985" w:type="dxa"/>
            <w:tcBorders>
              <w:top w:val="nil"/>
              <w:left w:val="nil"/>
              <w:bottom w:val="single" w:sz="4" w:space="0" w:color="auto"/>
              <w:right w:val="single" w:sz="4" w:space="0" w:color="auto"/>
            </w:tcBorders>
            <w:shd w:val="clear" w:color="000000" w:fill="FFFFFF"/>
            <w:noWrap/>
            <w:vAlign w:val="bottom"/>
            <w:hideMark/>
          </w:tcPr>
          <w:p w14:paraId="2A41AD22" w14:textId="36660CDA"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349BAA8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613F6CB0"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CCEB04"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Vymahatelné částky ze zvláštních účelových jednotek před úpravou podle očekávaných ztrát</w:t>
            </w:r>
          </w:p>
        </w:tc>
        <w:tc>
          <w:tcPr>
            <w:tcW w:w="709" w:type="dxa"/>
            <w:tcBorders>
              <w:top w:val="nil"/>
              <w:left w:val="nil"/>
              <w:bottom w:val="single" w:sz="4" w:space="0" w:color="auto"/>
              <w:right w:val="single" w:sz="4" w:space="0" w:color="auto"/>
            </w:tcBorders>
            <w:shd w:val="clear" w:color="auto" w:fill="auto"/>
            <w:noWrap/>
            <w:vAlign w:val="bottom"/>
            <w:hideMark/>
          </w:tcPr>
          <w:p w14:paraId="3B60E32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R0220</w:t>
            </w:r>
          </w:p>
        </w:tc>
        <w:tc>
          <w:tcPr>
            <w:tcW w:w="1985" w:type="dxa"/>
            <w:tcBorders>
              <w:top w:val="nil"/>
              <w:left w:val="nil"/>
              <w:bottom w:val="single" w:sz="4" w:space="0" w:color="auto"/>
              <w:right w:val="single" w:sz="4" w:space="0" w:color="auto"/>
            </w:tcBorders>
            <w:shd w:val="clear" w:color="000000" w:fill="FFFFFF"/>
            <w:noWrap/>
            <w:vAlign w:val="bottom"/>
            <w:hideMark/>
          </w:tcPr>
          <w:p w14:paraId="0EF71BD3" w14:textId="3C3174E0"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3 791 911</w:t>
            </w:r>
          </w:p>
        </w:tc>
        <w:tc>
          <w:tcPr>
            <w:tcW w:w="1842" w:type="dxa"/>
            <w:tcBorders>
              <w:top w:val="nil"/>
              <w:left w:val="nil"/>
              <w:bottom w:val="single" w:sz="4" w:space="0" w:color="auto"/>
              <w:right w:val="single" w:sz="4" w:space="0" w:color="auto"/>
            </w:tcBorders>
            <w:shd w:val="clear" w:color="000000" w:fill="FFFFFF"/>
            <w:noWrap/>
            <w:vAlign w:val="bottom"/>
            <w:hideMark/>
          </w:tcPr>
          <w:p w14:paraId="38F31A2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3 791 911</w:t>
            </w:r>
          </w:p>
        </w:tc>
      </w:tr>
      <w:tr w:rsidR="00C7402B" w:rsidRPr="006F46E4" w14:paraId="1217461B"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93974F3" w14:textId="77777777" w:rsidR="002F1A60" w:rsidRPr="006F46E4" w:rsidRDefault="002F1A60" w:rsidP="002F1A60">
            <w:pPr>
              <w:spacing w:after="0" w:line="240" w:lineRule="auto"/>
              <w:ind w:firstLineChars="400" w:firstLine="600"/>
              <w:rPr>
                <w:rFonts w:eastAsia="Times New Roman" w:cstheme="minorHAnsi"/>
                <w:color w:val="000000"/>
                <w:sz w:val="15"/>
                <w:szCs w:val="15"/>
                <w:lang w:eastAsia="cs-CZ"/>
              </w:rPr>
            </w:pPr>
            <w:r w:rsidRPr="006F46E4">
              <w:rPr>
                <w:rFonts w:eastAsia="Times New Roman" w:cstheme="minorHAnsi"/>
                <w:color w:val="000000"/>
                <w:sz w:val="15"/>
                <w:szCs w:val="15"/>
                <w:lang w:eastAsia="cs-CZ"/>
              </w:rPr>
              <w:t>Vymahatelné částky z finitního zajištění před úpravou podle očekávaných ztrát</w:t>
            </w:r>
          </w:p>
        </w:tc>
        <w:tc>
          <w:tcPr>
            <w:tcW w:w="709" w:type="dxa"/>
            <w:tcBorders>
              <w:top w:val="nil"/>
              <w:left w:val="nil"/>
              <w:bottom w:val="single" w:sz="4" w:space="0" w:color="auto"/>
              <w:right w:val="single" w:sz="4" w:space="0" w:color="auto"/>
            </w:tcBorders>
            <w:shd w:val="clear" w:color="auto" w:fill="auto"/>
            <w:noWrap/>
            <w:vAlign w:val="bottom"/>
            <w:hideMark/>
          </w:tcPr>
          <w:p w14:paraId="0C48866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R0230</w:t>
            </w:r>
          </w:p>
        </w:tc>
        <w:tc>
          <w:tcPr>
            <w:tcW w:w="1985" w:type="dxa"/>
            <w:tcBorders>
              <w:top w:val="nil"/>
              <w:left w:val="nil"/>
              <w:bottom w:val="single" w:sz="4" w:space="0" w:color="auto"/>
              <w:right w:val="single" w:sz="4" w:space="0" w:color="auto"/>
            </w:tcBorders>
            <w:shd w:val="clear" w:color="000000" w:fill="FFFFFF"/>
            <w:noWrap/>
            <w:vAlign w:val="bottom"/>
            <w:hideMark/>
          </w:tcPr>
          <w:p w14:paraId="55586452" w14:textId="2EBF5480"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3B0D8E4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0676359E"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1E94244"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výše částek vymahatelných ze zajištění / zvláštních účelových jednotek a z finitního zajištění po úpravě o očekávanou ztrátu danou selháním protistrany</w:t>
            </w:r>
          </w:p>
        </w:tc>
        <w:tc>
          <w:tcPr>
            <w:tcW w:w="709" w:type="dxa"/>
            <w:tcBorders>
              <w:top w:val="nil"/>
              <w:left w:val="nil"/>
              <w:bottom w:val="single" w:sz="4" w:space="0" w:color="auto"/>
              <w:right w:val="single" w:sz="4" w:space="0" w:color="auto"/>
            </w:tcBorders>
            <w:shd w:val="clear" w:color="auto" w:fill="auto"/>
            <w:noWrap/>
            <w:vAlign w:val="bottom"/>
            <w:hideMark/>
          </w:tcPr>
          <w:p w14:paraId="0C9FF6F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R0240</w:t>
            </w:r>
          </w:p>
        </w:tc>
        <w:tc>
          <w:tcPr>
            <w:tcW w:w="1985" w:type="dxa"/>
            <w:tcBorders>
              <w:top w:val="nil"/>
              <w:left w:val="nil"/>
              <w:bottom w:val="single" w:sz="4" w:space="0" w:color="auto"/>
              <w:right w:val="single" w:sz="4" w:space="0" w:color="auto"/>
            </w:tcBorders>
            <w:shd w:val="clear" w:color="000000" w:fill="FFFFFF"/>
            <w:noWrap/>
            <w:vAlign w:val="bottom"/>
            <w:hideMark/>
          </w:tcPr>
          <w:p w14:paraId="6FD2D193" w14:textId="5715C3B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3 791 911</w:t>
            </w:r>
          </w:p>
        </w:tc>
        <w:tc>
          <w:tcPr>
            <w:tcW w:w="1842" w:type="dxa"/>
            <w:tcBorders>
              <w:top w:val="nil"/>
              <w:left w:val="nil"/>
              <w:bottom w:val="single" w:sz="4" w:space="0" w:color="auto"/>
              <w:right w:val="single" w:sz="4" w:space="0" w:color="auto"/>
            </w:tcBorders>
            <w:shd w:val="clear" w:color="000000" w:fill="FFFFFF"/>
            <w:noWrap/>
            <w:vAlign w:val="bottom"/>
            <w:hideMark/>
          </w:tcPr>
          <w:p w14:paraId="05BEDEC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3 791 911</w:t>
            </w:r>
          </w:p>
        </w:tc>
      </w:tr>
      <w:tr w:rsidR="00C7402B" w:rsidRPr="006F46E4" w14:paraId="006DD855"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FF3AB63" w14:textId="77777777" w:rsidR="002F1A60" w:rsidRPr="006F46E4" w:rsidRDefault="002F1A60" w:rsidP="002F1A60">
            <w:pPr>
              <w:spacing w:after="0" w:line="240" w:lineRule="auto"/>
              <w:ind w:firstLineChars="300" w:firstLine="450"/>
              <w:rPr>
                <w:rFonts w:eastAsia="Times New Roman" w:cstheme="minorHAnsi"/>
                <w:color w:val="000000"/>
                <w:sz w:val="15"/>
                <w:szCs w:val="15"/>
                <w:lang w:eastAsia="cs-CZ"/>
              </w:rPr>
            </w:pPr>
            <w:r w:rsidRPr="006F46E4">
              <w:rPr>
                <w:rFonts w:eastAsia="Times New Roman" w:cstheme="minorHAnsi"/>
                <w:color w:val="000000"/>
                <w:sz w:val="15"/>
                <w:szCs w:val="15"/>
                <w:lang w:eastAsia="cs-CZ"/>
              </w:rPr>
              <w:t>Čistý nejlepší odhad rezerv na pojistné události</w:t>
            </w:r>
          </w:p>
        </w:tc>
        <w:tc>
          <w:tcPr>
            <w:tcW w:w="709" w:type="dxa"/>
            <w:tcBorders>
              <w:top w:val="nil"/>
              <w:left w:val="nil"/>
              <w:bottom w:val="single" w:sz="4" w:space="0" w:color="auto"/>
              <w:right w:val="single" w:sz="4" w:space="0" w:color="auto"/>
            </w:tcBorders>
            <w:shd w:val="clear" w:color="auto" w:fill="auto"/>
            <w:noWrap/>
            <w:vAlign w:val="bottom"/>
            <w:hideMark/>
          </w:tcPr>
          <w:p w14:paraId="4202EF9F"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R0250</w:t>
            </w:r>
          </w:p>
        </w:tc>
        <w:tc>
          <w:tcPr>
            <w:tcW w:w="1985" w:type="dxa"/>
            <w:tcBorders>
              <w:top w:val="nil"/>
              <w:left w:val="nil"/>
              <w:bottom w:val="single" w:sz="4" w:space="0" w:color="auto"/>
              <w:right w:val="single" w:sz="4" w:space="0" w:color="auto"/>
            </w:tcBorders>
            <w:shd w:val="clear" w:color="000000" w:fill="FFFFFF"/>
            <w:noWrap/>
            <w:vAlign w:val="bottom"/>
            <w:hideMark/>
          </w:tcPr>
          <w:p w14:paraId="05AF8DF1" w14:textId="406D9D93"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2 988 057</w:t>
            </w:r>
          </w:p>
        </w:tc>
        <w:tc>
          <w:tcPr>
            <w:tcW w:w="1842" w:type="dxa"/>
            <w:tcBorders>
              <w:top w:val="nil"/>
              <w:left w:val="nil"/>
              <w:bottom w:val="single" w:sz="4" w:space="0" w:color="auto"/>
              <w:right w:val="single" w:sz="4" w:space="0" w:color="auto"/>
            </w:tcBorders>
            <w:shd w:val="clear" w:color="000000" w:fill="FFFFFF"/>
            <w:noWrap/>
            <w:vAlign w:val="bottom"/>
            <w:hideMark/>
          </w:tcPr>
          <w:p w14:paraId="3AE50E9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2 988 057</w:t>
            </w:r>
          </w:p>
        </w:tc>
      </w:tr>
      <w:tr w:rsidR="00C7402B" w:rsidRPr="006F46E4" w14:paraId="41228AA2"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110D2B4"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Celkový nejlepší odhad – hrubá hodnota</w:t>
            </w:r>
          </w:p>
        </w:tc>
        <w:tc>
          <w:tcPr>
            <w:tcW w:w="709" w:type="dxa"/>
            <w:tcBorders>
              <w:top w:val="nil"/>
              <w:left w:val="nil"/>
              <w:bottom w:val="single" w:sz="4" w:space="0" w:color="auto"/>
              <w:right w:val="single" w:sz="4" w:space="0" w:color="auto"/>
            </w:tcBorders>
            <w:shd w:val="clear" w:color="auto" w:fill="auto"/>
            <w:noWrap/>
            <w:vAlign w:val="bottom"/>
            <w:hideMark/>
          </w:tcPr>
          <w:p w14:paraId="4D70021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R0260</w:t>
            </w:r>
          </w:p>
        </w:tc>
        <w:tc>
          <w:tcPr>
            <w:tcW w:w="1985" w:type="dxa"/>
            <w:tcBorders>
              <w:top w:val="nil"/>
              <w:left w:val="nil"/>
              <w:bottom w:val="single" w:sz="4" w:space="0" w:color="auto"/>
              <w:right w:val="single" w:sz="4" w:space="0" w:color="auto"/>
            </w:tcBorders>
            <w:shd w:val="clear" w:color="000000" w:fill="FFFFFF"/>
            <w:noWrap/>
            <w:vAlign w:val="bottom"/>
            <w:hideMark/>
          </w:tcPr>
          <w:p w14:paraId="5D0DAC6C" w14:textId="4B7A0EAD"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8 584 132</w:t>
            </w:r>
          </w:p>
        </w:tc>
        <w:tc>
          <w:tcPr>
            <w:tcW w:w="1842" w:type="dxa"/>
            <w:tcBorders>
              <w:top w:val="nil"/>
              <w:left w:val="nil"/>
              <w:bottom w:val="single" w:sz="4" w:space="0" w:color="auto"/>
              <w:right w:val="single" w:sz="4" w:space="0" w:color="auto"/>
            </w:tcBorders>
            <w:shd w:val="clear" w:color="000000" w:fill="FFFFFF"/>
            <w:noWrap/>
            <w:vAlign w:val="bottom"/>
            <w:hideMark/>
          </w:tcPr>
          <w:p w14:paraId="709C8EE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8 584 132</w:t>
            </w:r>
          </w:p>
        </w:tc>
      </w:tr>
      <w:tr w:rsidR="00C7402B" w:rsidRPr="006F46E4" w14:paraId="2059A2B5"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52D3F8B"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Celkový nejlepší odhad – čistá hodnota</w:t>
            </w:r>
          </w:p>
        </w:tc>
        <w:tc>
          <w:tcPr>
            <w:tcW w:w="709" w:type="dxa"/>
            <w:tcBorders>
              <w:top w:val="nil"/>
              <w:left w:val="nil"/>
              <w:bottom w:val="single" w:sz="4" w:space="0" w:color="auto"/>
              <w:right w:val="single" w:sz="4" w:space="0" w:color="auto"/>
            </w:tcBorders>
            <w:shd w:val="clear" w:color="auto" w:fill="auto"/>
            <w:noWrap/>
            <w:vAlign w:val="bottom"/>
            <w:hideMark/>
          </w:tcPr>
          <w:p w14:paraId="13EB976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R0270</w:t>
            </w:r>
          </w:p>
        </w:tc>
        <w:tc>
          <w:tcPr>
            <w:tcW w:w="1985" w:type="dxa"/>
            <w:tcBorders>
              <w:top w:val="nil"/>
              <w:left w:val="nil"/>
              <w:bottom w:val="single" w:sz="4" w:space="0" w:color="auto"/>
              <w:right w:val="single" w:sz="4" w:space="0" w:color="auto"/>
            </w:tcBorders>
            <w:shd w:val="clear" w:color="000000" w:fill="FFFFFF"/>
            <w:noWrap/>
            <w:vAlign w:val="bottom"/>
            <w:hideMark/>
          </w:tcPr>
          <w:p w14:paraId="501C3770" w14:textId="0B5BD72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5 031 648</w:t>
            </w:r>
          </w:p>
        </w:tc>
        <w:tc>
          <w:tcPr>
            <w:tcW w:w="1842" w:type="dxa"/>
            <w:tcBorders>
              <w:top w:val="nil"/>
              <w:left w:val="nil"/>
              <w:bottom w:val="single" w:sz="4" w:space="0" w:color="auto"/>
              <w:right w:val="single" w:sz="4" w:space="0" w:color="auto"/>
            </w:tcBorders>
            <w:shd w:val="clear" w:color="000000" w:fill="FFFFFF"/>
            <w:noWrap/>
            <w:vAlign w:val="bottom"/>
            <w:hideMark/>
          </w:tcPr>
          <w:p w14:paraId="6587A88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5 031 648</w:t>
            </w:r>
          </w:p>
        </w:tc>
      </w:tr>
      <w:tr w:rsidR="00C7402B" w:rsidRPr="006F46E4" w14:paraId="5E1C7135"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9C3B4CD"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Riziková přirážka</w:t>
            </w:r>
          </w:p>
        </w:tc>
        <w:tc>
          <w:tcPr>
            <w:tcW w:w="709" w:type="dxa"/>
            <w:tcBorders>
              <w:top w:val="nil"/>
              <w:left w:val="nil"/>
              <w:bottom w:val="single" w:sz="4" w:space="0" w:color="auto"/>
              <w:right w:val="single" w:sz="4" w:space="0" w:color="auto"/>
            </w:tcBorders>
            <w:shd w:val="clear" w:color="auto" w:fill="auto"/>
            <w:noWrap/>
            <w:vAlign w:val="bottom"/>
            <w:hideMark/>
          </w:tcPr>
          <w:p w14:paraId="53FBD50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R0280</w:t>
            </w:r>
          </w:p>
        </w:tc>
        <w:tc>
          <w:tcPr>
            <w:tcW w:w="1985" w:type="dxa"/>
            <w:tcBorders>
              <w:top w:val="nil"/>
              <w:left w:val="nil"/>
              <w:bottom w:val="single" w:sz="4" w:space="0" w:color="auto"/>
              <w:right w:val="single" w:sz="4" w:space="0" w:color="auto"/>
            </w:tcBorders>
            <w:shd w:val="clear" w:color="000000" w:fill="FFFFFF"/>
            <w:noWrap/>
            <w:vAlign w:val="bottom"/>
            <w:hideMark/>
          </w:tcPr>
          <w:p w14:paraId="7F28E627" w14:textId="4B67B52D"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181 139</w:t>
            </w:r>
          </w:p>
        </w:tc>
        <w:tc>
          <w:tcPr>
            <w:tcW w:w="1842" w:type="dxa"/>
            <w:tcBorders>
              <w:top w:val="nil"/>
              <w:left w:val="nil"/>
              <w:bottom w:val="single" w:sz="4" w:space="0" w:color="auto"/>
              <w:right w:val="single" w:sz="4" w:space="0" w:color="auto"/>
            </w:tcBorders>
            <w:shd w:val="clear" w:color="000000" w:fill="FFFFFF"/>
            <w:noWrap/>
            <w:vAlign w:val="bottom"/>
            <w:hideMark/>
          </w:tcPr>
          <w:p w14:paraId="5F125A3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181 139</w:t>
            </w:r>
          </w:p>
        </w:tc>
      </w:tr>
      <w:tr w:rsidR="00C7402B" w:rsidRPr="006F46E4" w14:paraId="306BE16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42FEE0D"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Celková hodnota přechodného opatření u technických rezerv</w:t>
            </w:r>
          </w:p>
        </w:tc>
        <w:tc>
          <w:tcPr>
            <w:tcW w:w="709" w:type="dxa"/>
            <w:tcBorders>
              <w:top w:val="nil"/>
              <w:left w:val="nil"/>
              <w:bottom w:val="single" w:sz="4" w:space="0" w:color="auto"/>
              <w:right w:val="single" w:sz="4" w:space="0" w:color="auto"/>
            </w:tcBorders>
            <w:shd w:val="clear" w:color="auto" w:fill="auto"/>
            <w:noWrap/>
            <w:vAlign w:val="bottom"/>
            <w:hideMark/>
          </w:tcPr>
          <w:p w14:paraId="3DCC1C8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5A6E21AE" w14:textId="2A0F9544"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4E0EFF7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5F621FB0"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5B336D0"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jako celek</w:t>
            </w:r>
          </w:p>
        </w:tc>
        <w:tc>
          <w:tcPr>
            <w:tcW w:w="709" w:type="dxa"/>
            <w:tcBorders>
              <w:top w:val="nil"/>
              <w:left w:val="nil"/>
              <w:bottom w:val="single" w:sz="4" w:space="0" w:color="auto"/>
              <w:right w:val="single" w:sz="4" w:space="0" w:color="auto"/>
            </w:tcBorders>
            <w:shd w:val="clear" w:color="auto" w:fill="auto"/>
            <w:noWrap/>
            <w:vAlign w:val="bottom"/>
            <w:hideMark/>
          </w:tcPr>
          <w:p w14:paraId="374A8FD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R0290</w:t>
            </w:r>
          </w:p>
        </w:tc>
        <w:tc>
          <w:tcPr>
            <w:tcW w:w="1985" w:type="dxa"/>
            <w:tcBorders>
              <w:top w:val="nil"/>
              <w:left w:val="nil"/>
              <w:bottom w:val="single" w:sz="4" w:space="0" w:color="auto"/>
              <w:right w:val="single" w:sz="4" w:space="0" w:color="auto"/>
            </w:tcBorders>
            <w:shd w:val="clear" w:color="000000" w:fill="FFFFFF"/>
            <w:noWrap/>
            <w:vAlign w:val="bottom"/>
            <w:hideMark/>
          </w:tcPr>
          <w:p w14:paraId="427D39D8" w14:textId="0E115E00"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920EE4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EF326F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266937B"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Nejlepší odhad</w:t>
            </w:r>
          </w:p>
        </w:tc>
        <w:tc>
          <w:tcPr>
            <w:tcW w:w="709" w:type="dxa"/>
            <w:tcBorders>
              <w:top w:val="nil"/>
              <w:left w:val="nil"/>
              <w:bottom w:val="single" w:sz="4" w:space="0" w:color="auto"/>
              <w:right w:val="single" w:sz="4" w:space="0" w:color="auto"/>
            </w:tcBorders>
            <w:shd w:val="clear" w:color="auto" w:fill="auto"/>
            <w:noWrap/>
            <w:vAlign w:val="bottom"/>
            <w:hideMark/>
          </w:tcPr>
          <w:p w14:paraId="4434A8C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R0300</w:t>
            </w:r>
          </w:p>
        </w:tc>
        <w:tc>
          <w:tcPr>
            <w:tcW w:w="1985" w:type="dxa"/>
            <w:tcBorders>
              <w:top w:val="nil"/>
              <w:left w:val="nil"/>
              <w:bottom w:val="single" w:sz="4" w:space="0" w:color="auto"/>
              <w:right w:val="single" w:sz="4" w:space="0" w:color="auto"/>
            </w:tcBorders>
            <w:shd w:val="clear" w:color="000000" w:fill="FFFFFF"/>
            <w:noWrap/>
            <w:vAlign w:val="bottom"/>
            <w:hideMark/>
          </w:tcPr>
          <w:p w14:paraId="333BC4FE" w14:textId="54DD8662"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170110E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6336DE4"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12ACDE2"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Riziková přirážka</w:t>
            </w:r>
          </w:p>
        </w:tc>
        <w:tc>
          <w:tcPr>
            <w:tcW w:w="709" w:type="dxa"/>
            <w:tcBorders>
              <w:top w:val="nil"/>
              <w:left w:val="nil"/>
              <w:bottom w:val="single" w:sz="4" w:space="0" w:color="auto"/>
              <w:right w:val="single" w:sz="4" w:space="0" w:color="auto"/>
            </w:tcBorders>
            <w:shd w:val="clear" w:color="auto" w:fill="auto"/>
            <w:noWrap/>
            <w:vAlign w:val="bottom"/>
            <w:hideMark/>
          </w:tcPr>
          <w:p w14:paraId="1229567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R0310</w:t>
            </w:r>
          </w:p>
        </w:tc>
        <w:tc>
          <w:tcPr>
            <w:tcW w:w="1985" w:type="dxa"/>
            <w:tcBorders>
              <w:top w:val="nil"/>
              <w:left w:val="nil"/>
              <w:bottom w:val="single" w:sz="4" w:space="0" w:color="auto"/>
              <w:right w:val="single" w:sz="4" w:space="0" w:color="auto"/>
            </w:tcBorders>
            <w:shd w:val="clear" w:color="000000" w:fill="FFFFFF"/>
            <w:noWrap/>
            <w:vAlign w:val="bottom"/>
            <w:hideMark/>
          </w:tcPr>
          <w:p w14:paraId="56E77E6E" w14:textId="33CC2AA7"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09EA225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BD49CB3"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E0BB652"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 celkem</w:t>
            </w:r>
          </w:p>
        </w:tc>
        <w:tc>
          <w:tcPr>
            <w:tcW w:w="709" w:type="dxa"/>
            <w:tcBorders>
              <w:top w:val="nil"/>
              <w:left w:val="nil"/>
              <w:bottom w:val="single" w:sz="4" w:space="0" w:color="auto"/>
              <w:right w:val="single" w:sz="4" w:space="0" w:color="auto"/>
            </w:tcBorders>
            <w:shd w:val="clear" w:color="auto" w:fill="auto"/>
            <w:noWrap/>
            <w:vAlign w:val="bottom"/>
            <w:hideMark/>
          </w:tcPr>
          <w:p w14:paraId="125E303F"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426DAD2A" w14:textId="5257F392"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0498FAA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41CCB18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68C7C89"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 celkem</w:t>
            </w:r>
          </w:p>
        </w:tc>
        <w:tc>
          <w:tcPr>
            <w:tcW w:w="709" w:type="dxa"/>
            <w:tcBorders>
              <w:top w:val="nil"/>
              <w:left w:val="nil"/>
              <w:bottom w:val="single" w:sz="4" w:space="0" w:color="auto"/>
              <w:right w:val="single" w:sz="4" w:space="0" w:color="auto"/>
            </w:tcBorders>
            <w:shd w:val="clear" w:color="auto" w:fill="auto"/>
            <w:noWrap/>
            <w:vAlign w:val="bottom"/>
            <w:hideMark/>
          </w:tcPr>
          <w:p w14:paraId="769250D5"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R0320</w:t>
            </w:r>
          </w:p>
        </w:tc>
        <w:tc>
          <w:tcPr>
            <w:tcW w:w="1985" w:type="dxa"/>
            <w:tcBorders>
              <w:top w:val="nil"/>
              <w:left w:val="nil"/>
              <w:bottom w:val="single" w:sz="4" w:space="0" w:color="auto"/>
              <w:right w:val="single" w:sz="4" w:space="0" w:color="auto"/>
            </w:tcBorders>
            <w:shd w:val="clear" w:color="000000" w:fill="FFFFFF"/>
            <w:noWrap/>
            <w:vAlign w:val="bottom"/>
            <w:hideMark/>
          </w:tcPr>
          <w:p w14:paraId="6633FD01" w14:textId="03D3C44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8 765 271</w:t>
            </w:r>
          </w:p>
        </w:tc>
        <w:tc>
          <w:tcPr>
            <w:tcW w:w="1842" w:type="dxa"/>
            <w:tcBorders>
              <w:top w:val="nil"/>
              <w:left w:val="nil"/>
              <w:bottom w:val="single" w:sz="4" w:space="0" w:color="auto"/>
              <w:right w:val="single" w:sz="4" w:space="0" w:color="auto"/>
            </w:tcBorders>
            <w:shd w:val="clear" w:color="000000" w:fill="FFFFFF"/>
            <w:noWrap/>
            <w:vAlign w:val="bottom"/>
            <w:hideMark/>
          </w:tcPr>
          <w:p w14:paraId="737DF27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8 765 271</w:t>
            </w:r>
          </w:p>
        </w:tc>
      </w:tr>
      <w:tr w:rsidR="00C7402B" w:rsidRPr="006F46E4" w14:paraId="03EBD03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4C3554B"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Částka vymahatelná ze zajištění / zvláštních účelových jednotek a z finitního zajištění po úpravě o očekávanou ztrátu danou selháním protistrany – celkem</w:t>
            </w:r>
          </w:p>
        </w:tc>
        <w:tc>
          <w:tcPr>
            <w:tcW w:w="709" w:type="dxa"/>
            <w:tcBorders>
              <w:top w:val="nil"/>
              <w:left w:val="nil"/>
              <w:bottom w:val="single" w:sz="4" w:space="0" w:color="auto"/>
              <w:right w:val="single" w:sz="4" w:space="0" w:color="auto"/>
            </w:tcBorders>
            <w:shd w:val="clear" w:color="auto" w:fill="auto"/>
            <w:noWrap/>
            <w:vAlign w:val="bottom"/>
            <w:hideMark/>
          </w:tcPr>
          <w:p w14:paraId="34AC028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R0330</w:t>
            </w:r>
          </w:p>
        </w:tc>
        <w:tc>
          <w:tcPr>
            <w:tcW w:w="1985" w:type="dxa"/>
            <w:tcBorders>
              <w:top w:val="nil"/>
              <w:left w:val="nil"/>
              <w:bottom w:val="single" w:sz="4" w:space="0" w:color="auto"/>
              <w:right w:val="single" w:sz="4" w:space="0" w:color="auto"/>
            </w:tcBorders>
            <w:shd w:val="clear" w:color="000000" w:fill="FFFFFF"/>
            <w:noWrap/>
            <w:vAlign w:val="bottom"/>
            <w:hideMark/>
          </w:tcPr>
          <w:p w14:paraId="45E8C3B0" w14:textId="7692C28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3 552 484</w:t>
            </w:r>
          </w:p>
        </w:tc>
        <w:tc>
          <w:tcPr>
            <w:tcW w:w="1842" w:type="dxa"/>
            <w:tcBorders>
              <w:top w:val="nil"/>
              <w:left w:val="nil"/>
              <w:bottom w:val="single" w:sz="4" w:space="0" w:color="auto"/>
              <w:right w:val="single" w:sz="4" w:space="0" w:color="auto"/>
            </w:tcBorders>
            <w:shd w:val="clear" w:color="000000" w:fill="FFFFFF"/>
            <w:noWrap/>
            <w:vAlign w:val="bottom"/>
            <w:hideMark/>
          </w:tcPr>
          <w:p w14:paraId="0DA812F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3 552 484</w:t>
            </w:r>
          </w:p>
        </w:tc>
      </w:tr>
      <w:tr w:rsidR="00C7402B" w:rsidRPr="006F46E4" w14:paraId="4B9B202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89FA2F4"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po odečtení vymahatelných částek ze zajištění / zvláštních účelových jednotek a finitního zajištění – celkem</w:t>
            </w:r>
          </w:p>
        </w:tc>
        <w:tc>
          <w:tcPr>
            <w:tcW w:w="709" w:type="dxa"/>
            <w:tcBorders>
              <w:top w:val="nil"/>
              <w:left w:val="nil"/>
              <w:bottom w:val="single" w:sz="4" w:space="0" w:color="auto"/>
              <w:right w:val="single" w:sz="4" w:space="0" w:color="auto"/>
            </w:tcBorders>
            <w:shd w:val="clear" w:color="auto" w:fill="auto"/>
            <w:noWrap/>
            <w:vAlign w:val="bottom"/>
            <w:hideMark/>
          </w:tcPr>
          <w:p w14:paraId="6F3B1D5D"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R0340</w:t>
            </w:r>
          </w:p>
        </w:tc>
        <w:tc>
          <w:tcPr>
            <w:tcW w:w="1985" w:type="dxa"/>
            <w:tcBorders>
              <w:top w:val="nil"/>
              <w:left w:val="nil"/>
              <w:bottom w:val="single" w:sz="4" w:space="0" w:color="auto"/>
              <w:right w:val="single" w:sz="4" w:space="0" w:color="auto"/>
            </w:tcBorders>
            <w:shd w:val="clear" w:color="000000" w:fill="FFFFFF"/>
            <w:noWrap/>
            <w:vAlign w:val="bottom"/>
            <w:hideMark/>
          </w:tcPr>
          <w:p w14:paraId="49E277DD" w14:textId="0C29EDAF"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5 212 788</w:t>
            </w:r>
          </w:p>
        </w:tc>
        <w:tc>
          <w:tcPr>
            <w:tcW w:w="1842" w:type="dxa"/>
            <w:tcBorders>
              <w:top w:val="nil"/>
              <w:left w:val="nil"/>
              <w:bottom w:val="single" w:sz="4" w:space="0" w:color="auto"/>
              <w:right w:val="single" w:sz="4" w:space="0" w:color="auto"/>
            </w:tcBorders>
            <w:shd w:val="clear" w:color="000000" w:fill="FFFFFF"/>
            <w:noWrap/>
            <w:vAlign w:val="bottom"/>
            <w:hideMark/>
          </w:tcPr>
          <w:p w14:paraId="101D358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5 212 788</w:t>
            </w:r>
          </w:p>
        </w:tc>
      </w:tr>
      <w:tr w:rsidR="00C7402B" w:rsidRPr="006F46E4" w14:paraId="6A6F0B50" w14:textId="77777777" w:rsidTr="000C3B3D">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92D8D81"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Druh pojištění: další rozčlenění (rizikově homogenní skupiny)</w:t>
            </w:r>
          </w:p>
        </w:tc>
        <w:tc>
          <w:tcPr>
            <w:tcW w:w="709" w:type="dxa"/>
            <w:tcBorders>
              <w:top w:val="nil"/>
              <w:left w:val="nil"/>
              <w:bottom w:val="single" w:sz="4" w:space="0" w:color="auto"/>
              <w:right w:val="single" w:sz="4" w:space="0" w:color="auto"/>
            </w:tcBorders>
            <w:shd w:val="clear" w:color="auto" w:fill="auto"/>
            <w:noWrap/>
            <w:vAlign w:val="bottom"/>
            <w:hideMark/>
          </w:tcPr>
          <w:p w14:paraId="039A41B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4FD7D7A1" w14:textId="14C06154"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267826A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33EC122" w14:textId="77777777" w:rsidTr="000C3B3D">
        <w:tc>
          <w:tcPr>
            <w:tcW w:w="10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DC92"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Rezervy na pojistné – Celkový počet rizikově homogenních skupin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A51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R0350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4DA85" w14:textId="64C7DC9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8FC32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0F6C04C9" w14:textId="77777777" w:rsidTr="000C3B3D">
        <w:tc>
          <w:tcPr>
            <w:tcW w:w="10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E288"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lastRenderedPageBreak/>
              <w:t>Rezervy na nároky – Celkový počet rizikově homogenních skupin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698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R0360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5C2083" w14:textId="38B39AB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5816B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5C1CC56" w14:textId="77777777" w:rsidTr="000C3B3D">
        <w:tc>
          <w:tcPr>
            <w:tcW w:w="10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3D21"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Peněžní toky podle nejlepšího odhadu rezerv na pojistné (hrubá hodnota)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35F7F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14:paraId="7376F541" w14:textId="5233D952"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single" w:sz="4" w:space="0" w:color="auto"/>
              <w:left w:val="nil"/>
              <w:bottom w:val="single" w:sz="4" w:space="0" w:color="auto"/>
              <w:right w:val="single" w:sz="4" w:space="0" w:color="auto"/>
            </w:tcBorders>
            <w:shd w:val="clear" w:color="000000" w:fill="BFBFBF"/>
            <w:noWrap/>
            <w:vAlign w:val="bottom"/>
            <w:hideMark/>
          </w:tcPr>
          <w:p w14:paraId="35ABAAB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1E4943F"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6C8B125"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Finanční odtoky</w:t>
            </w:r>
          </w:p>
        </w:tc>
        <w:tc>
          <w:tcPr>
            <w:tcW w:w="709" w:type="dxa"/>
            <w:tcBorders>
              <w:top w:val="nil"/>
              <w:left w:val="nil"/>
              <w:bottom w:val="single" w:sz="4" w:space="0" w:color="auto"/>
              <w:right w:val="single" w:sz="4" w:space="0" w:color="auto"/>
            </w:tcBorders>
            <w:shd w:val="clear" w:color="auto" w:fill="auto"/>
            <w:noWrap/>
            <w:vAlign w:val="bottom"/>
            <w:hideMark/>
          </w:tcPr>
          <w:p w14:paraId="1C40B13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78DC07A3" w14:textId="69AD6FC7"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2C1DE4F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6F815571"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917EC30"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pojistná plnění a nároky</w:t>
            </w:r>
          </w:p>
        </w:tc>
        <w:tc>
          <w:tcPr>
            <w:tcW w:w="709" w:type="dxa"/>
            <w:tcBorders>
              <w:top w:val="nil"/>
              <w:left w:val="nil"/>
              <w:bottom w:val="single" w:sz="4" w:space="0" w:color="auto"/>
              <w:right w:val="single" w:sz="4" w:space="0" w:color="auto"/>
            </w:tcBorders>
            <w:shd w:val="clear" w:color="auto" w:fill="auto"/>
            <w:noWrap/>
            <w:vAlign w:val="bottom"/>
            <w:hideMark/>
          </w:tcPr>
          <w:p w14:paraId="75CCA2D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R0370</w:t>
            </w:r>
          </w:p>
        </w:tc>
        <w:tc>
          <w:tcPr>
            <w:tcW w:w="1985" w:type="dxa"/>
            <w:tcBorders>
              <w:top w:val="nil"/>
              <w:left w:val="nil"/>
              <w:bottom w:val="single" w:sz="4" w:space="0" w:color="auto"/>
              <w:right w:val="single" w:sz="4" w:space="0" w:color="auto"/>
            </w:tcBorders>
            <w:shd w:val="clear" w:color="000000" w:fill="FFFFFF"/>
            <w:noWrap/>
            <w:vAlign w:val="bottom"/>
            <w:hideMark/>
          </w:tcPr>
          <w:p w14:paraId="4690BF51" w14:textId="24A6C81C"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3A0867C2"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6F970E8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FB7B355"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náklady a jiné peněžní odtoky</w:t>
            </w:r>
          </w:p>
        </w:tc>
        <w:tc>
          <w:tcPr>
            <w:tcW w:w="709" w:type="dxa"/>
            <w:tcBorders>
              <w:top w:val="nil"/>
              <w:left w:val="nil"/>
              <w:bottom w:val="single" w:sz="4" w:space="0" w:color="auto"/>
              <w:right w:val="single" w:sz="4" w:space="0" w:color="auto"/>
            </w:tcBorders>
            <w:shd w:val="clear" w:color="auto" w:fill="auto"/>
            <w:noWrap/>
            <w:vAlign w:val="bottom"/>
            <w:hideMark/>
          </w:tcPr>
          <w:p w14:paraId="5567914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R0380</w:t>
            </w:r>
          </w:p>
        </w:tc>
        <w:tc>
          <w:tcPr>
            <w:tcW w:w="1985" w:type="dxa"/>
            <w:tcBorders>
              <w:top w:val="nil"/>
              <w:left w:val="nil"/>
              <w:bottom w:val="single" w:sz="4" w:space="0" w:color="auto"/>
              <w:right w:val="single" w:sz="4" w:space="0" w:color="auto"/>
            </w:tcBorders>
            <w:shd w:val="clear" w:color="000000" w:fill="FFFFFF"/>
            <w:noWrap/>
            <w:vAlign w:val="bottom"/>
            <w:hideMark/>
          </w:tcPr>
          <w:p w14:paraId="013D42FD" w14:textId="1817AEF9"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2 618 000</w:t>
            </w:r>
          </w:p>
        </w:tc>
        <w:tc>
          <w:tcPr>
            <w:tcW w:w="1842" w:type="dxa"/>
            <w:tcBorders>
              <w:top w:val="nil"/>
              <w:left w:val="nil"/>
              <w:bottom w:val="single" w:sz="4" w:space="0" w:color="auto"/>
              <w:right w:val="single" w:sz="4" w:space="0" w:color="auto"/>
            </w:tcBorders>
            <w:shd w:val="clear" w:color="000000" w:fill="FFFFFF"/>
            <w:noWrap/>
            <w:vAlign w:val="bottom"/>
            <w:hideMark/>
          </w:tcPr>
          <w:p w14:paraId="263F907F"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2 618 000</w:t>
            </w:r>
          </w:p>
        </w:tc>
      </w:tr>
      <w:tr w:rsidR="00C7402B" w:rsidRPr="006F46E4" w14:paraId="2066D9A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1157E2B"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Finanční přítoky</w:t>
            </w:r>
          </w:p>
        </w:tc>
        <w:tc>
          <w:tcPr>
            <w:tcW w:w="709" w:type="dxa"/>
            <w:tcBorders>
              <w:top w:val="nil"/>
              <w:left w:val="nil"/>
              <w:bottom w:val="single" w:sz="4" w:space="0" w:color="auto"/>
              <w:right w:val="single" w:sz="4" w:space="0" w:color="auto"/>
            </w:tcBorders>
            <w:shd w:val="clear" w:color="auto" w:fill="auto"/>
            <w:noWrap/>
            <w:vAlign w:val="bottom"/>
            <w:hideMark/>
          </w:tcPr>
          <w:p w14:paraId="0095F225"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1377239A" w14:textId="21B00DE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5C9D7A3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657ECA98"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4B89DE8"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pojistné</w:t>
            </w:r>
          </w:p>
        </w:tc>
        <w:tc>
          <w:tcPr>
            <w:tcW w:w="709" w:type="dxa"/>
            <w:tcBorders>
              <w:top w:val="nil"/>
              <w:left w:val="nil"/>
              <w:bottom w:val="single" w:sz="4" w:space="0" w:color="auto"/>
              <w:right w:val="single" w:sz="4" w:space="0" w:color="auto"/>
            </w:tcBorders>
            <w:shd w:val="clear" w:color="auto" w:fill="auto"/>
            <w:noWrap/>
            <w:vAlign w:val="bottom"/>
            <w:hideMark/>
          </w:tcPr>
          <w:p w14:paraId="598E96A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R0390</w:t>
            </w:r>
          </w:p>
        </w:tc>
        <w:tc>
          <w:tcPr>
            <w:tcW w:w="1985" w:type="dxa"/>
            <w:tcBorders>
              <w:top w:val="nil"/>
              <w:left w:val="nil"/>
              <w:bottom w:val="single" w:sz="4" w:space="0" w:color="auto"/>
              <w:right w:val="single" w:sz="4" w:space="0" w:color="auto"/>
            </w:tcBorders>
            <w:shd w:val="clear" w:color="000000" w:fill="FFFFFF"/>
            <w:noWrap/>
            <w:vAlign w:val="bottom"/>
            <w:hideMark/>
          </w:tcPr>
          <w:p w14:paraId="4E35BE62" w14:textId="499D444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2 424 345</w:t>
            </w:r>
          </w:p>
        </w:tc>
        <w:tc>
          <w:tcPr>
            <w:tcW w:w="1842" w:type="dxa"/>
            <w:tcBorders>
              <w:top w:val="nil"/>
              <w:left w:val="nil"/>
              <w:bottom w:val="single" w:sz="4" w:space="0" w:color="auto"/>
              <w:right w:val="single" w:sz="4" w:space="0" w:color="auto"/>
            </w:tcBorders>
            <w:shd w:val="clear" w:color="000000" w:fill="FFFFFF"/>
            <w:noWrap/>
            <w:vAlign w:val="bottom"/>
            <w:hideMark/>
          </w:tcPr>
          <w:p w14:paraId="7ED5A74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2 424 345</w:t>
            </w:r>
          </w:p>
        </w:tc>
      </w:tr>
      <w:tr w:rsidR="00C7402B" w:rsidRPr="006F46E4" w14:paraId="08B58B67"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C2F22D4"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Jiné peněžní přítoky (včetně částek vymahatelných z náhrad a regresů)</w:t>
            </w:r>
          </w:p>
        </w:tc>
        <w:tc>
          <w:tcPr>
            <w:tcW w:w="709" w:type="dxa"/>
            <w:tcBorders>
              <w:top w:val="nil"/>
              <w:left w:val="nil"/>
              <w:bottom w:val="single" w:sz="4" w:space="0" w:color="auto"/>
              <w:right w:val="single" w:sz="4" w:space="0" w:color="auto"/>
            </w:tcBorders>
            <w:shd w:val="clear" w:color="auto" w:fill="auto"/>
            <w:noWrap/>
            <w:vAlign w:val="bottom"/>
            <w:hideMark/>
          </w:tcPr>
          <w:p w14:paraId="4757F14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R0400</w:t>
            </w:r>
          </w:p>
        </w:tc>
        <w:tc>
          <w:tcPr>
            <w:tcW w:w="1985" w:type="dxa"/>
            <w:tcBorders>
              <w:top w:val="nil"/>
              <w:left w:val="nil"/>
              <w:bottom w:val="single" w:sz="4" w:space="0" w:color="auto"/>
              <w:right w:val="single" w:sz="4" w:space="0" w:color="auto"/>
            </w:tcBorders>
            <w:shd w:val="clear" w:color="000000" w:fill="FFFFFF"/>
            <w:noWrap/>
            <w:vAlign w:val="bottom"/>
            <w:hideMark/>
          </w:tcPr>
          <w:p w14:paraId="13D0684C" w14:textId="0C44321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3D3DD8D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2D36492"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7B19E39"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Peněžní toky podle nejlepšího odhadu rezerv na nároky (hrubá hodnota)</w:t>
            </w:r>
          </w:p>
        </w:tc>
        <w:tc>
          <w:tcPr>
            <w:tcW w:w="709" w:type="dxa"/>
            <w:tcBorders>
              <w:top w:val="nil"/>
              <w:left w:val="nil"/>
              <w:bottom w:val="single" w:sz="4" w:space="0" w:color="auto"/>
              <w:right w:val="single" w:sz="4" w:space="0" w:color="auto"/>
            </w:tcBorders>
            <w:shd w:val="clear" w:color="auto" w:fill="auto"/>
            <w:noWrap/>
            <w:vAlign w:val="bottom"/>
            <w:hideMark/>
          </w:tcPr>
          <w:p w14:paraId="340FC63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5C337608" w14:textId="1B964BBB"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3D43F32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5BCB867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2C63398"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Finanční odtoky</w:t>
            </w:r>
          </w:p>
        </w:tc>
        <w:tc>
          <w:tcPr>
            <w:tcW w:w="709" w:type="dxa"/>
            <w:tcBorders>
              <w:top w:val="nil"/>
              <w:left w:val="nil"/>
              <w:bottom w:val="single" w:sz="4" w:space="0" w:color="auto"/>
              <w:right w:val="single" w:sz="4" w:space="0" w:color="auto"/>
            </w:tcBorders>
            <w:shd w:val="clear" w:color="auto" w:fill="auto"/>
            <w:noWrap/>
            <w:vAlign w:val="bottom"/>
            <w:hideMark/>
          </w:tcPr>
          <w:p w14:paraId="78B6201D"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7DFAE6D3" w14:textId="179B275F"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1D763B3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A8CBA31"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9F2BEB4"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pojistná plnění a nároky</w:t>
            </w:r>
          </w:p>
        </w:tc>
        <w:tc>
          <w:tcPr>
            <w:tcW w:w="709" w:type="dxa"/>
            <w:tcBorders>
              <w:top w:val="nil"/>
              <w:left w:val="nil"/>
              <w:bottom w:val="single" w:sz="4" w:space="0" w:color="auto"/>
              <w:right w:val="single" w:sz="4" w:space="0" w:color="auto"/>
            </w:tcBorders>
            <w:shd w:val="clear" w:color="auto" w:fill="auto"/>
            <w:noWrap/>
            <w:vAlign w:val="bottom"/>
            <w:hideMark/>
          </w:tcPr>
          <w:p w14:paraId="608AC4B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R0410</w:t>
            </w:r>
          </w:p>
        </w:tc>
        <w:tc>
          <w:tcPr>
            <w:tcW w:w="1985" w:type="dxa"/>
            <w:tcBorders>
              <w:top w:val="nil"/>
              <w:left w:val="nil"/>
              <w:bottom w:val="single" w:sz="4" w:space="0" w:color="auto"/>
              <w:right w:val="single" w:sz="4" w:space="0" w:color="auto"/>
            </w:tcBorders>
            <w:shd w:val="clear" w:color="000000" w:fill="FFFFFF"/>
            <w:noWrap/>
            <w:vAlign w:val="bottom"/>
            <w:hideMark/>
          </w:tcPr>
          <w:p w14:paraId="46A8E18A" w14:textId="22B01AF6"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31 005 450</w:t>
            </w:r>
          </w:p>
        </w:tc>
        <w:tc>
          <w:tcPr>
            <w:tcW w:w="1842" w:type="dxa"/>
            <w:tcBorders>
              <w:top w:val="nil"/>
              <w:left w:val="nil"/>
              <w:bottom w:val="single" w:sz="4" w:space="0" w:color="auto"/>
              <w:right w:val="single" w:sz="4" w:space="0" w:color="auto"/>
            </w:tcBorders>
            <w:shd w:val="clear" w:color="000000" w:fill="FFFFFF"/>
            <w:noWrap/>
            <w:vAlign w:val="bottom"/>
            <w:hideMark/>
          </w:tcPr>
          <w:p w14:paraId="57E1552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31 005 450</w:t>
            </w:r>
          </w:p>
        </w:tc>
      </w:tr>
      <w:tr w:rsidR="00C7402B" w:rsidRPr="006F46E4" w14:paraId="67088620"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3CFE1C4"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náklady a jiné peněžní odtoky</w:t>
            </w:r>
          </w:p>
        </w:tc>
        <w:tc>
          <w:tcPr>
            <w:tcW w:w="709" w:type="dxa"/>
            <w:tcBorders>
              <w:top w:val="nil"/>
              <w:left w:val="nil"/>
              <w:bottom w:val="single" w:sz="4" w:space="0" w:color="auto"/>
              <w:right w:val="single" w:sz="4" w:space="0" w:color="auto"/>
            </w:tcBorders>
            <w:shd w:val="clear" w:color="auto" w:fill="auto"/>
            <w:noWrap/>
            <w:vAlign w:val="bottom"/>
            <w:hideMark/>
          </w:tcPr>
          <w:p w14:paraId="5914C85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R0420</w:t>
            </w:r>
          </w:p>
        </w:tc>
        <w:tc>
          <w:tcPr>
            <w:tcW w:w="1985" w:type="dxa"/>
            <w:tcBorders>
              <w:top w:val="nil"/>
              <w:left w:val="nil"/>
              <w:bottom w:val="single" w:sz="4" w:space="0" w:color="auto"/>
              <w:right w:val="single" w:sz="4" w:space="0" w:color="auto"/>
            </w:tcBorders>
            <w:shd w:val="clear" w:color="000000" w:fill="FFFFFF"/>
            <w:noWrap/>
            <w:vAlign w:val="bottom"/>
            <w:hideMark/>
          </w:tcPr>
          <w:p w14:paraId="0D56648F" w14:textId="000187B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65C8935"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754A38AA"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D0E6B97" w14:textId="77777777" w:rsidR="002F1A60" w:rsidRPr="006F46E4" w:rsidRDefault="002F1A60" w:rsidP="002F1A60">
            <w:pPr>
              <w:spacing w:after="0" w:line="240" w:lineRule="auto"/>
              <w:ind w:firstLineChars="100" w:firstLine="150"/>
              <w:rPr>
                <w:rFonts w:eastAsia="Times New Roman" w:cstheme="minorHAnsi"/>
                <w:color w:val="000000"/>
                <w:sz w:val="15"/>
                <w:szCs w:val="15"/>
                <w:lang w:eastAsia="cs-CZ"/>
              </w:rPr>
            </w:pPr>
            <w:r w:rsidRPr="006F46E4">
              <w:rPr>
                <w:rFonts w:eastAsia="Times New Roman" w:cstheme="minorHAnsi"/>
                <w:color w:val="000000"/>
                <w:sz w:val="15"/>
                <w:szCs w:val="15"/>
                <w:lang w:eastAsia="cs-CZ"/>
              </w:rPr>
              <w:t>Finanční přítoky</w:t>
            </w:r>
          </w:p>
        </w:tc>
        <w:tc>
          <w:tcPr>
            <w:tcW w:w="709" w:type="dxa"/>
            <w:tcBorders>
              <w:top w:val="nil"/>
              <w:left w:val="nil"/>
              <w:bottom w:val="single" w:sz="4" w:space="0" w:color="auto"/>
              <w:right w:val="single" w:sz="4" w:space="0" w:color="auto"/>
            </w:tcBorders>
            <w:shd w:val="clear" w:color="auto" w:fill="auto"/>
            <w:noWrap/>
            <w:vAlign w:val="bottom"/>
            <w:hideMark/>
          </w:tcPr>
          <w:p w14:paraId="3D42644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370D211A" w14:textId="72DC5FC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0DBBB63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187FEEDE"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B6CC60C"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Budoucí pojistné</w:t>
            </w:r>
          </w:p>
        </w:tc>
        <w:tc>
          <w:tcPr>
            <w:tcW w:w="709" w:type="dxa"/>
            <w:tcBorders>
              <w:top w:val="nil"/>
              <w:left w:val="nil"/>
              <w:bottom w:val="single" w:sz="4" w:space="0" w:color="auto"/>
              <w:right w:val="single" w:sz="4" w:space="0" w:color="auto"/>
            </w:tcBorders>
            <w:shd w:val="clear" w:color="auto" w:fill="auto"/>
            <w:noWrap/>
            <w:vAlign w:val="bottom"/>
            <w:hideMark/>
          </w:tcPr>
          <w:p w14:paraId="56F6909A"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R0430</w:t>
            </w:r>
          </w:p>
        </w:tc>
        <w:tc>
          <w:tcPr>
            <w:tcW w:w="1985" w:type="dxa"/>
            <w:tcBorders>
              <w:top w:val="nil"/>
              <w:left w:val="nil"/>
              <w:bottom w:val="single" w:sz="4" w:space="0" w:color="auto"/>
              <w:right w:val="single" w:sz="4" w:space="0" w:color="auto"/>
            </w:tcBorders>
            <w:shd w:val="clear" w:color="000000" w:fill="FFFFFF"/>
            <w:noWrap/>
            <w:vAlign w:val="bottom"/>
            <w:hideMark/>
          </w:tcPr>
          <w:p w14:paraId="4C164068" w14:textId="7215844F"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35 792 637</w:t>
            </w:r>
          </w:p>
        </w:tc>
        <w:tc>
          <w:tcPr>
            <w:tcW w:w="1842" w:type="dxa"/>
            <w:tcBorders>
              <w:top w:val="nil"/>
              <w:left w:val="nil"/>
              <w:bottom w:val="single" w:sz="4" w:space="0" w:color="auto"/>
              <w:right w:val="single" w:sz="4" w:space="0" w:color="auto"/>
            </w:tcBorders>
            <w:shd w:val="clear" w:color="000000" w:fill="FFFFFF"/>
            <w:noWrap/>
            <w:vAlign w:val="bottom"/>
            <w:hideMark/>
          </w:tcPr>
          <w:p w14:paraId="0CB1B52B"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35 792 637</w:t>
            </w:r>
          </w:p>
        </w:tc>
      </w:tr>
      <w:tr w:rsidR="00C7402B" w:rsidRPr="006F46E4" w14:paraId="2A05BDFC"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EFB6F9F" w14:textId="77777777" w:rsidR="002F1A60" w:rsidRPr="006F46E4" w:rsidRDefault="002F1A60" w:rsidP="002F1A60">
            <w:pPr>
              <w:spacing w:after="0" w:line="240" w:lineRule="auto"/>
              <w:ind w:firstLineChars="200" w:firstLine="300"/>
              <w:rPr>
                <w:rFonts w:eastAsia="Times New Roman" w:cstheme="minorHAnsi"/>
                <w:color w:val="000000"/>
                <w:sz w:val="15"/>
                <w:szCs w:val="15"/>
                <w:lang w:eastAsia="cs-CZ"/>
              </w:rPr>
            </w:pPr>
            <w:r w:rsidRPr="006F46E4">
              <w:rPr>
                <w:rFonts w:eastAsia="Times New Roman" w:cstheme="minorHAnsi"/>
                <w:color w:val="000000"/>
                <w:sz w:val="15"/>
                <w:szCs w:val="15"/>
                <w:lang w:eastAsia="cs-CZ"/>
              </w:rPr>
              <w:t>Jiné peněžní přítoky (včetně částek vymahatelných z náhrad a regresů)</w:t>
            </w:r>
          </w:p>
        </w:tc>
        <w:tc>
          <w:tcPr>
            <w:tcW w:w="709" w:type="dxa"/>
            <w:tcBorders>
              <w:top w:val="nil"/>
              <w:left w:val="nil"/>
              <w:bottom w:val="single" w:sz="4" w:space="0" w:color="auto"/>
              <w:right w:val="single" w:sz="4" w:space="0" w:color="auto"/>
            </w:tcBorders>
            <w:shd w:val="clear" w:color="auto" w:fill="auto"/>
            <w:noWrap/>
            <w:vAlign w:val="bottom"/>
            <w:hideMark/>
          </w:tcPr>
          <w:p w14:paraId="0EF610B7"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R0440</w:t>
            </w:r>
          </w:p>
        </w:tc>
        <w:tc>
          <w:tcPr>
            <w:tcW w:w="1985" w:type="dxa"/>
            <w:tcBorders>
              <w:top w:val="nil"/>
              <w:left w:val="nil"/>
              <w:bottom w:val="single" w:sz="4" w:space="0" w:color="auto"/>
              <w:right w:val="single" w:sz="4" w:space="0" w:color="auto"/>
            </w:tcBorders>
            <w:shd w:val="clear" w:color="000000" w:fill="FFFFFF"/>
            <w:noWrap/>
            <w:vAlign w:val="bottom"/>
            <w:hideMark/>
          </w:tcPr>
          <w:p w14:paraId="10EBE9F7" w14:textId="1260881E"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57B6606"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 </w:t>
            </w:r>
          </w:p>
        </w:tc>
      </w:tr>
      <w:tr w:rsidR="00C7402B" w:rsidRPr="006F46E4" w14:paraId="4EF16DBB"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56432A"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Procentní podíl hrubé hodnoty nejlepšího odhadu vypočítaného za použití aproximací</w:t>
            </w:r>
          </w:p>
        </w:tc>
        <w:tc>
          <w:tcPr>
            <w:tcW w:w="709" w:type="dxa"/>
            <w:tcBorders>
              <w:top w:val="nil"/>
              <w:left w:val="nil"/>
              <w:bottom w:val="single" w:sz="4" w:space="0" w:color="auto"/>
              <w:right w:val="single" w:sz="4" w:space="0" w:color="auto"/>
            </w:tcBorders>
            <w:shd w:val="clear" w:color="auto" w:fill="auto"/>
            <w:noWrap/>
            <w:vAlign w:val="bottom"/>
            <w:hideMark/>
          </w:tcPr>
          <w:p w14:paraId="3D5B7B33"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R0450</w:t>
            </w:r>
          </w:p>
        </w:tc>
        <w:tc>
          <w:tcPr>
            <w:tcW w:w="1985" w:type="dxa"/>
            <w:tcBorders>
              <w:top w:val="nil"/>
              <w:left w:val="nil"/>
              <w:bottom w:val="single" w:sz="4" w:space="0" w:color="auto"/>
              <w:right w:val="single" w:sz="4" w:space="0" w:color="auto"/>
            </w:tcBorders>
            <w:shd w:val="clear" w:color="000000" w:fill="FFFFFF"/>
            <w:noWrap/>
            <w:vAlign w:val="bottom"/>
            <w:hideMark/>
          </w:tcPr>
          <w:p w14:paraId="79921E4D" w14:textId="279A4AD1"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100</w:t>
            </w:r>
          </w:p>
        </w:tc>
        <w:tc>
          <w:tcPr>
            <w:tcW w:w="1842" w:type="dxa"/>
            <w:tcBorders>
              <w:top w:val="nil"/>
              <w:left w:val="nil"/>
              <w:bottom w:val="single" w:sz="4" w:space="0" w:color="auto"/>
              <w:right w:val="single" w:sz="4" w:space="0" w:color="auto"/>
            </w:tcBorders>
            <w:shd w:val="clear" w:color="000000" w:fill="FFFFFF"/>
            <w:noWrap/>
            <w:vAlign w:val="bottom"/>
            <w:hideMark/>
          </w:tcPr>
          <w:p w14:paraId="75A17AD0"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100</w:t>
            </w:r>
          </w:p>
        </w:tc>
      </w:tr>
      <w:tr w:rsidR="00C7402B" w:rsidRPr="006F46E4" w14:paraId="0BA63CDA"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F0B75A1"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Nejlepší odhad zohledňující přechodná opatření na úrokové míry</w:t>
            </w:r>
          </w:p>
        </w:tc>
        <w:tc>
          <w:tcPr>
            <w:tcW w:w="709" w:type="dxa"/>
            <w:tcBorders>
              <w:top w:val="nil"/>
              <w:left w:val="nil"/>
              <w:bottom w:val="single" w:sz="4" w:space="0" w:color="auto"/>
              <w:right w:val="single" w:sz="4" w:space="0" w:color="auto"/>
            </w:tcBorders>
            <w:shd w:val="clear" w:color="auto" w:fill="auto"/>
            <w:noWrap/>
            <w:vAlign w:val="bottom"/>
            <w:hideMark/>
          </w:tcPr>
          <w:p w14:paraId="15AC5B09"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R0460</w:t>
            </w:r>
          </w:p>
        </w:tc>
        <w:tc>
          <w:tcPr>
            <w:tcW w:w="1985" w:type="dxa"/>
            <w:tcBorders>
              <w:top w:val="nil"/>
              <w:left w:val="nil"/>
              <w:bottom w:val="single" w:sz="4" w:space="0" w:color="auto"/>
              <w:right w:val="single" w:sz="4" w:space="0" w:color="auto"/>
            </w:tcBorders>
            <w:shd w:val="clear" w:color="000000" w:fill="FFFFFF"/>
            <w:noWrap/>
            <w:vAlign w:val="bottom"/>
            <w:hideMark/>
          </w:tcPr>
          <w:p w14:paraId="102D2EEE" w14:textId="3CAEE8C9"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8 584 132</w:t>
            </w:r>
          </w:p>
        </w:tc>
        <w:tc>
          <w:tcPr>
            <w:tcW w:w="1842" w:type="dxa"/>
            <w:tcBorders>
              <w:top w:val="nil"/>
              <w:left w:val="nil"/>
              <w:bottom w:val="single" w:sz="4" w:space="0" w:color="auto"/>
              <w:right w:val="single" w:sz="4" w:space="0" w:color="auto"/>
            </w:tcBorders>
            <w:shd w:val="clear" w:color="000000" w:fill="FFFFFF"/>
            <w:noWrap/>
            <w:vAlign w:val="bottom"/>
            <w:hideMark/>
          </w:tcPr>
          <w:p w14:paraId="306E1EF4"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8 584 132</w:t>
            </w:r>
          </w:p>
        </w:tc>
      </w:tr>
      <w:tr w:rsidR="00C7402B" w:rsidRPr="006F46E4" w14:paraId="1F605164"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379323E"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bez přechodných opatření na úrokové míry</w:t>
            </w:r>
          </w:p>
        </w:tc>
        <w:tc>
          <w:tcPr>
            <w:tcW w:w="709" w:type="dxa"/>
            <w:tcBorders>
              <w:top w:val="nil"/>
              <w:left w:val="nil"/>
              <w:bottom w:val="single" w:sz="4" w:space="0" w:color="auto"/>
              <w:right w:val="single" w:sz="4" w:space="0" w:color="auto"/>
            </w:tcBorders>
            <w:shd w:val="clear" w:color="auto" w:fill="auto"/>
            <w:noWrap/>
            <w:vAlign w:val="bottom"/>
            <w:hideMark/>
          </w:tcPr>
          <w:p w14:paraId="5B892D18"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R0470</w:t>
            </w:r>
          </w:p>
        </w:tc>
        <w:tc>
          <w:tcPr>
            <w:tcW w:w="1985" w:type="dxa"/>
            <w:tcBorders>
              <w:top w:val="nil"/>
              <w:left w:val="nil"/>
              <w:bottom w:val="single" w:sz="4" w:space="0" w:color="auto"/>
              <w:right w:val="single" w:sz="4" w:space="0" w:color="auto"/>
            </w:tcBorders>
            <w:shd w:val="clear" w:color="000000" w:fill="FFFFFF"/>
            <w:noWrap/>
            <w:vAlign w:val="bottom"/>
            <w:hideMark/>
          </w:tcPr>
          <w:p w14:paraId="3893D0E1" w14:textId="3744BFF8"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8 584 132</w:t>
            </w:r>
          </w:p>
        </w:tc>
        <w:tc>
          <w:tcPr>
            <w:tcW w:w="1842" w:type="dxa"/>
            <w:tcBorders>
              <w:top w:val="nil"/>
              <w:left w:val="nil"/>
              <w:bottom w:val="single" w:sz="4" w:space="0" w:color="auto"/>
              <w:right w:val="single" w:sz="4" w:space="0" w:color="auto"/>
            </w:tcBorders>
            <w:shd w:val="clear" w:color="000000" w:fill="FFFFFF"/>
            <w:noWrap/>
            <w:vAlign w:val="bottom"/>
            <w:hideMark/>
          </w:tcPr>
          <w:p w14:paraId="19C11571"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8 584 132</w:t>
            </w:r>
          </w:p>
        </w:tc>
      </w:tr>
      <w:tr w:rsidR="00C7402B" w:rsidRPr="006F46E4" w14:paraId="19B9F6AE"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D1F2BCA"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Nejlepší odhad podléhající koeficientu volatility</w:t>
            </w:r>
          </w:p>
        </w:tc>
        <w:tc>
          <w:tcPr>
            <w:tcW w:w="709" w:type="dxa"/>
            <w:tcBorders>
              <w:top w:val="nil"/>
              <w:left w:val="nil"/>
              <w:bottom w:val="single" w:sz="4" w:space="0" w:color="auto"/>
              <w:right w:val="single" w:sz="4" w:space="0" w:color="auto"/>
            </w:tcBorders>
            <w:shd w:val="clear" w:color="auto" w:fill="auto"/>
            <w:noWrap/>
            <w:vAlign w:val="bottom"/>
            <w:hideMark/>
          </w:tcPr>
          <w:p w14:paraId="3FDFC2A5"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R0480</w:t>
            </w:r>
          </w:p>
        </w:tc>
        <w:tc>
          <w:tcPr>
            <w:tcW w:w="1985" w:type="dxa"/>
            <w:tcBorders>
              <w:top w:val="nil"/>
              <w:left w:val="nil"/>
              <w:bottom w:val="single" w:sz="4" w:space="0" w:color="auto"/>
              <w:right w:val="single" w:sz="4" w:space="0" w:color="auto"/>
            </w:tcBorders>
            <w:shd w:val="clear" w:color="000000" w:fill="FFFFFF"/>
            <w:noWrap/>
            <w:vAlign w:val="bottom"/>
            <w:hideMark/>
          </w:tcPr>
          <w:p w14:paraId="063AFAC1" w14:textId="0D552CD2"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8 584 132</w:t>
            </w:r>
          </w:p>
        </w:tc>
        <w:tc>
          <w:tcPr>
            <w:tcW w:w="1842" w:type="dxa"/>
            <w:tcBorders>
              <w:top w:val="nil"/>
              <w:left w:val="nil"/>
              <w:bottom w:val="single" w:sz="4" w:space="0" w:color="auto"/>
              <w:right w:val="single" w:sz="4" w:space="0" w:color="auto"/>
            </w:tcBorders>
            <w:shd w:val="clear" w:color="000000" w:fill="FFFFFF"/>
            <w:noWrap/>
            <w:vAlign w:val="bottom"/>
            <w:hideMark/>
          </w:tcPr>
          <w:p w14:paraId="1FB2642E"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8 584 132</w:t>
            </w:r>
          </w:p>
        </w:tc>
      </w:tr>
      <w:tr w:rsidR="00C7402B" w:rsidRPr="006F46E4" w14:paraId="087B7459" w14:textId="77777777" w:rsidTr="00C7402B">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E392D02" w14:textId="77777777" w:rsidR="002F1A60" w:rsidRPr="006F46E4" w:rsidRDefault="002F1A60" w:rsidP="002F1A60">
            <w:pPr>
              <w:spacing w:after="0" w:line="240" w:lineRule="auto"/>
              <w:rPr>
                <w:rFonts w:eastAsia="Times New Roman" w:cstheme="minorHAnsi"/>
                <w:color w:val="000000"/>
                <w:sz w:val="15"/>
                <w:szCs w:val="15"/>
                <w:lang w:eastAsia="cs-CZ"/>
              </w:rPr>
            </w:pPr>
            <w:r w:rsidRPr="006F46E4">
              <w:rPr>
                <w:rFonts w:eastAsia="Times New Roman" w:cstheme="minorHAnsi"/>
                <w:color w:val="000000"/>
                <w:sz w:val="15"/>
                <w:szCs w:val="15"/>
                <w:lang w:eastAsia="cs-CZ"/>
              </w:rPr>
              <w:t>Technické rezervy bez zohlednění koeficientu volatility a bez jiných přechodných opatření</w:t>
            </w:r>
          </w:p>
        </w:tc>
        <w:tc>
          <w:tcPr>
            <w:tcW w:w="709" w:type="dxa"/>
            <w:tcBorders>
              <w:top w:val="nil"/>
              <w:left w:val="nil"/>
              <w:bottom w:val="single" w:sz="4" w:space="0" w:color="auto"/>
              <w:right w:val="single" w:sz="4" w:space="0" w:color="auto"/>
            </w:tcBorders>
            <w:shd w:val="clear" w:color="auto" w:fill="auto"/>
            <w:noWrap/>
            <w:vAlign w:val="bottom"/>
            <w:hideMark/>
          </w:tcPr>
          <w:p w14:paraId="42805741"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R0490</w:t>
            </w:r>
          </w:p>
        </w:tc>
        <w:tc>
          <w:tcPr>
            <w:tcW w:w="1985" w:type="dxa"/>
            <w:tcBorders>
              <w:top w:val="nil"/>
              <w:left w:val="nil"/>
              <w:bottom w:val="single" w:sz="4" w:space="0" w:color="auto"/>
              <w:right w:val="single" w:sz="4" w:space="0" w:color="auto"/>
            </w:tcBorders>
            <w:shd w:val="clear" w:color="000000" w:fill="FFFFFF"/>
            <w:noWrap/>
            <w:vAlign w:val="bottom"/>
            <w:hideMark/>
          </w:tcPr>
          <w:p w14:paraId="50A034ED" w14:textId="38E759DD" w:rsidR="002F1A60" w:rsidRPr="006F46E4" w:rsidRDefault="002F1A60" w:rsidP="002F1A60">
            <w:pPr>
              <w:spacing w:after="0" w:line="240" w:lineRule="auto"/>
              <w:jc w:val="center"/>
              <w:rPr>
                <w:rFonts w:eastAsia="Times New Roman" w:cstheme="minorHAnsi"/>
                <w:color w:val="000000"/>
                <w:sz w:val="15"/>
                <w:szCs w:val="15"/>
                <w:lang w:eastAsia="cs-CZ"/>
              </w:rPr>
            </w:pPr>
            <w:r w:rsidRPr="003201C4">
              <w:rPr>
                <w:rFonts w:ascii="Calibri" w:hAnsi="Calibri" w:cs="Calibri"/>
                <w:color w:val="000000"/>
                <w:sz w:val="15"/>
                <w:szCs w:val="15"/>
              </w:rPr>
              <w:t>8 584 132</w:t>
            </w:r>
          </w:p>
        </w:tc>
        <w:tc>
          <w:tcPr>
            <w:tcW w:w="1842" w:type="dxa"/>
            <w:tcBorders>
              <w:top w:val="nil"/>
              <w:left w:val="nil"/>
              <w:bottom w:val="single" w:sz="4" w:space="0" w:color="auto"/>
              <w:right w:val="single" w:sz="4" w:space="0" w:color="auto"/>
            </w:tcBorders>
            <w:shd w:val="clear" w:color="000000" w:fill="FFFFFF"/>
            <w:noWrap/>
            <w:vAlign w:val="bottom"/>
            <w:hideMark/>
          </w:tcPr>
          <w:p w14:paraId="2D1B398C" w14:textId="77777777" w:rsidR="002F1A60" w:rsidRPr="006F46E4" w:rsidRDefault="002F1A60" w:rsidP="002F1A60">
            <w:pPr>
              <w:spacing w:after="0" w:line="240" w:lineRule="auto"/>
              <w:jc w:val="center"/>
              <w:rPr>
                <w:rFonts w:eastAsia="Times New Roman" w:cstheme="minorHAnsi"/>
                <w:color w:val="000000"/>
                <w:sz w:val="15"/>
                <w:szCs w:val="15"/>
                <w:lang w:eastAsia="cs-CZ"/>
              </w:rPr>
            </w:pPr>
            <w:r w:rsidRPr="006F46E4">
              <w:rPr>
                <w:rFonts w:eastAsia="Times New Roman" w:cstheme="minorHAnsi"/>
                <w:color w:val="000000"/>
                <w:sz w:val="15"/>
                <w:szCs w:val="15"/>
                <w:lang w:eastAsia="cs-CZ"/>
              </w:rPr>
              <w:t>8 584 132</w:t>
            </w:r>
          </w:p>
        </w:tc>
      </w:tr>
    </w:tbl>
    <w:p w14:paraId="386711AD" w14:textId="77777777" w:rsidR="006F46E4" w:rsidRDefault="006F46E4" w:rsidP="00FA5B54">
      <w:pPr>
        <w:pStyle w:val="Nadpis2"/>
        <w:rPr>
          <w:color w:val="auto"/>
        </w:rPr>
      </w:pPr>
    </w:p>
    <w:p w14:paraId="1F02A883" w14:textId="77777777" w:rsidR="00064EBB" w:rsidRDefault="00064EBB">
      <w:pPr>
        <w:rPr>
          <w:rFonts w:asciiTheme="majorHAnsi" w:eastAsiaTheme="majorEastAsia" w:hAnsiTheme="majorHAnsi" w:cstheme="majorBidi"/>
          <w:sz w:val="26"/>
          <w:szCs w:val="26"/>
        </w:rPr>
      </w:pPr>
      <w:r>
        <w:br w:type="page"/>
      </w:r>
    </w:p>
    <w:p w14:paraId="3C7082E6" w14:textId="0A73FECD" w:rsidR="00FA5B54" w:rsidRPr="00D121FD" w:rsidRDefault="00FA5B54" w:rsidP="00FA5B54">
      <w:pPr>
        <w:pStyle w:val="Nadpis2"/>
        <w:rPr>
          <w:color w:val="auto"/>
        </w:rPr>
      </w:pPr>
      <w:bookmarkStart w:id="45" w:name="_Toc75366909"/>
      <w:r w:rsidRPr="00D121FD">
        <w:rPr>
          <w:color w:val="auto"/>
        </w:rPr>
        <w:lastRenderedPageBreak/>
        <w:t>S.19.01.</w:t>
      </w:r>
      <w:r w:rsidR="009F2389">
        <w:rPr>
          <w:color w:val="auto"/>
        </w:rPr>
        <w:t>0</w:t>
      </w:r>
      <w:r w:rsidRPr="00D121FD">
        <w:rPr>
          <w:color w:val="auto"/>
        </w:rPr>
        <w:t>1 Informace o nárocích na pojistné plnění z neživotního pojištění</w:t>
      </w:r>
      <w:bookmarkEnd w:id="45"/>
      <w:r w:rsidRPr="00D121FD">
        <w:rPr>
          <w:color w:val="auto"/>
        </w:rPr>
        <w:t xml:space="preserve"> </w:t>
      </w:r>
    </w:p>
    <w:p w14:paraId="66A5C34F" w14:textId="41BAF3D1" w:rsidR="00FA5B54" w:rsidRPr="009F2389" w:rsidRDefault="00FA5B54" w:rsidP="00FA5B54">
      <w:pPr>
        <w:rPr>
          <w:b/>
          <w:bCs/>
          <w:sz w:val="20"/>
          <w:szCs w:val="20"/>
        </w:rPr>
      </w:pPr>
      <w:r w:rsidRPr="00371BD7">
        <w:rPr>
          <w:b/>
          <w:bCs/>
          <w:sz w:val="20"/>
          <w:szCs w:val="20"/>
        </w:rPr>
        <w:t>Celkem za neživotní pojištění</w:t>
      </w:r>
    </w:p>
    <w:tbl>
      <w:tblPr>
        <w:tblW w:w="15309" w:type="dxa"/>
        <w:tblCellMar>
          <w:left w:w="70" w:type="dxa"/>
          <w:right w:w="70" w:type="dxa"/>
        </w:tblCellMar>
        <w:tblLook w:val="04A0" w:firstRow="1" w:lastRow="0" w:firstColumn="1" w:lastColumn="0" w:noHBand="0" w:noVBand="1"/>
      </w:tblPr>
      <w:tblGrid>
        <w:gridCol w:w="1985"/>
        <w:gridCol w:w="709"/>
        <w:gridCol w:w="992"/>
        <w:gridCol w:w="992"/>
        <w:gridCol w:w="709"/>
        <w:gridCol w:w="709"/>
        <w:gridCol w:w="708"/>
        <w:gridCol w:w="709"/>
        <w:gridCol w:w="851"/>
        <w:gridCol w:w="850"/>
        <w:gridCol w:w="709"/>
        <w:gridCol w:w="850"/>
        <w:gridCol w:w="851"/>
        <w:gridCol w:w="850"/>
        <w:gridCol w:w="851"/>
        <w:gridCol w:w="676"/>
        <w:gridCol w:w="40"/>
        <w:gridCol w:w="550"/>
        <w:gridCol w:w="758"/>
      </w:tblGrid>
      <w:tr w:rsidR="00724B00" w:rsidRPr="00C334AB" w14:paraId="710FC063" w14:textId="77777777" w:rsidTr="005865E4">
        <w:tc>
          <w:tcPr>
            <w:tcW w:w="11624" w:type="dxa"/>
            <w:gridSpan w:val="13"/>
            <w:tcBorders>
              <w:top w:val="nil"/>
              <w:left w:val="nil"/>
              <w:bottom w:val="nil"/>
              <w:right w:val="nil"/>
            </w:tcBorders>
            <w:shd w:val="clear" w:color="auto" w:fill="auto"/>
            <w:noWrap/>
            <w:vAlign w:val="bottom"/>
            <w:hideMark/>
          </w:tcPr>
          <w:p w14:paraId="6658B527" w14:textId="54AB626D" w:rsidR="00C334AB" w:rsidRPr="00C334AB" w:rsidRDefault="00C334AB" w:rsidP="00C334AB">
            <w:pPr>
              <w:spacing w:after="0" w:line="240" w:lineRule="auto"/>
              <w:rPr>
                <w:rFonts w:ascii="Calibri" w:eastAsia="Times New Roman" w:hAnsi="Calibri" w:cs="Calibri"/>
                <w:b/>
                <w:bCs/>
                <w:color w:val="000000"/>
                <w:sz w:val="16"/>
                <w:szCs w:val="16"/>
                <w:lang w:eastAsia="cs-CZ"/>
              </w:rPr>
            </w:pPr>
            <w:r w:rsidRPr="00C334AB">
              <w:rPr>
                <w:rFonts w:ascii="Calibri" w:eastAsia="Times New Roman" w:hAnsi="Calibri" w:cs="Calibri"/>
                <w:b/>
                <w:bCs/>
                <w:color w:val="000000"/>
                <w:sz w:val="16"/>
                <w:szCs w:val="16"/>
                <w:lang w:eastAsia="cs-CZ"/>
              </w:rPr>
              <w:t xml:space="preserve">Hrubá výše uhrazených pojistných plnění (nekumulativní) </w:t>
            </w:r>
          </w:p>
        </w:tc>
        <w:tc>
          <w:tcPr>
            <w:tcW w:w="850" w:type="dxa"/>
            <w:tcBorders>
              <w:top w:val="nil"/>
              <w:left w:val="nil"/>
              <w:bottom w:val="nil"/>
              <w:right w:val="nil"/>
            </w:tcBorders>
            <w:shd w:val="clear" w:color="auto" w:fill="auto"/>
            <w:noWrap/>
            <w:vAlign w:val="bottom"/>
            <w:hideMark/>
          </w:tcPr>
          <w:p w14:paraId="742A7481" w14:textId="77777777" w:rsidR="00C334AB" w:rsidRPr="00C334AB" w:rsidRDefault="00C334AB" w:rsidP="00C334AB">
            <w:pPr>
              <w:spacing w:after="0" w:line="240" w:lineRule="auto"/>
              <w:rPr>
                <w:rFonts w:ascii="Calibri" w:eastAsia="Times New Roman" w:hAnsi="Calibri" w:cs="Calibri"/>
                <w:b/>
                <w:bCs/>
                <w:color w:val="000000"/>
                <w:sz w:val="16"/>
                <w:szCs w:val="16"/>
                <w:lang w:eastAsia="cs-CZ"/>
              </w:rPr>
            </w:pPr>
          </w:p>
        </w:tc>
        <w:tc>
          <w:tcPr>
            <w:tcW w:w="851" w:type="dxa"/>
            <w:tcBorders>
              <w:top w:val="nil"/>
              <w:left w:val="nil"/>
              <w:bottom w:val="nil"/>
              <w:right w:val="nil"/>
            </w:tcBorders>
            <w:shd w:val="clear" w:color="auto" w:fill="auto"/>
            <w:noWrap/>
            <w:vAlign w:val="bottom"/>
            <w:hideMark/>
          </w:tcPr>
          <w:p w14:paraId="1BC462D0"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16" w:type="dxa"/>
            <w:gridSpan w:val="2"/>
            <w:tcBorders>
              <w:top w:val="nil"/>
              <w:left w:val="nil"/>
              <w:bottom w:val="nil"/>
              <w:right w:val="nil"/>
            </w:tcBorders>
            <w:shd w:val="clear" w:color="auto" w:fill="auto"/>
            <w:noWrap/>
            <w:vAlign w:val="bottom"/>
            <w:hideMark/>
          </w:tcPr>
          <w:p w14:paraId="580F9968"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510" w:type="dxa"/>
            <w:tcBorders>
              <w:top w:val="nil"/>
              <w:left w:val="nil"/>
              <w:bottom w:val="nil"/>
              <w:right w:val="nil"/>
            </w:tcBorders>
            <w:shd w:val="clear" w:color="auto" w:fill="auto"/>
            <w:noWrap/>
            <w:vAlign w:val="bottom"/>
            <w:hideMark/>
          </w:tcPr>
          <w:p w14:paraId="697D0E6F"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7D9FA87D"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r>
      <w:tr w:rsidR="00724B00" w:rsidRPr="00C334AB" w14:paraId="43EE1761" w14:textId="77777777" w:rsidTr="005865E4">
        <w:tc>
          <w:tcPr>
            <w:tcW w:w="1985" w:type="dxa"/>
            <w:tcBorders>
              <w:top w:val="nil"/>
              <w:left w:val="nil"/>
              <w:bottom w:val="nil"/>
              <w:right w:val="nil"/>
            </w:tcBorders>
            <w:shd w:val="clear" w:color="auto" w:fill="auto"/>
            <w:noWrap/>
            <w:vAlign w:val="bottom"/>
            <w:hideMark/>
          </w:tcPr>
          <w:p w14:paraId="04549546"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3BEF42E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64E71CD1"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114969E7"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48706C94"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1C02434F"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8" w:type="dxa"/>
            <w:tcBorders>
              <w:top w:val="nil"/>
              <w:left w:val="nil"/>
              <w:bottom w:val="nil"/>
              <w:right w:val="nil"/>
            </w:tcBorders>
            <w:shd w:val="clear" w:color="auto" w:fill="auto"/>
            <w:noWrap/>
            <w:vAlign w:val="bottom"/>
            <w:hideMark/>
          </w:tcPr>
          <w:p w14:paraId="1DDCE380"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3E106903"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169964D2"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15BD7FC5"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21DB53E1"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762D91C3"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4D3DDA6E"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58F179B6"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42D72D75"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16" w:type="dxa"/>
            <w:gridSpan w:val="2"/>
            <w:tcBorders>
              <w:top w:val="nil"/>
              <w:left w:val="nil"/>
              <w:bottom w:val="nil"/>
              <w:right w:val="nil"/>
            </w:tcBorders>
            <w:shd w:val="clear" w:color="auto" w:fill="auto"/>
            <w:noWrap/>
            <w:vAlign w:val="bottom"/>
            <w:hideMark/>
          </w:tcPr>
          <w:p w14:paraId="53F7C263"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510" w:type="dxa"/>
            <w:tcBorders>
              <w:top w:val="nil"/>
              <w:left w:val="nil"/>
              <w:bottom w:val="nil"/>
              <w:right w:val="nil"/>
            </w:tcBorders>
            <w:shd w:val="clear" w:color="auto" w:fill="auto"/>
            <w:noWrap/>
            <w:vAlign w:val="bottom"/>
            <w:hideMark/>
          </w:tcPr>
          <w:p w14:paraId="62E9247B"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25297EB1"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r>
      <w:tr w:rsidR="00724B00" w:rsidRPr="00C334AB" w14:paraId="0BF4F0F7"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E85AB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Rok vzniku / upisovací rok</w:t>
            </w:r>
          </w:p>
        </w:tc>
        <w:tc>
          <w:tcPr>
            <w:tcW w:w="709" w:type="dxa"/>
            <w:tcBorders>
              <w:top w:val="nil"/>
              <w:left w:val="nil"/>
              <w:bottom w:val="single" w:sz="4" w:space="0" w:color="auto"/>
              <w:right w:val="single" w:sz="4" w:space="0" w:color="auto"/>
            </w:tcBorders>
            <w:shd w:val="clear" w:color="auto" w:fill="auto"/>
            <w:noWrap/>
            <w:vAlign w:val="bottom"/>
            <w:hideMark/>
          </w:tcPr>
          <w:p w14:paraId="3FEC2EC3"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Z0020</w:t>
            </w:r>
          </w:p>
        </w:tc>
        <w:tc>
          <w:tcPr>
            <w:tcW w:w="992" w:type="dxa"/>
            <w:tcBorders>
              <w:top w:val="nil"/>
              <w:left w:val="nil"/>
              <w:bottom w:val="single" w:sz="4" w:space="0" w:color="auto"/>
              <w:right w:val="single" w:sz="4" w:space="0" w:color="auto"/>
            </w:tcBorders>
            <w:shd w:val="clear" w:color="000000" w:fill="FFFFFC"/>
            <w:noWrap/>
            <w:vAlign w:val="bottom"/>
            <w:hideMark/>
          </w:tcPr>
          <w:p w14:paraId="62CACF6C" w14:textId="2F55A456" w:rsidR="00C334AB" w:rsidRPr="00C334AB" w:rsidRDefault="00C334AB" w:rsidP="00C334AB">
            <w:pPr>
              <w:spacing w:after="0" w:line="240" w:lineRule="auto"/>
              <w:rPr>
                <w:rFonts w:ascii="Calibri" w:eastAsia="Times New Roman" w:hAnsi="Calibri" w:cs="Calibri"/>
                <w:color w:val="000000"/>
                <w:sz w:val="16"/>
                <w:szCs w:val="16"/>
                <w:lang w:eastAsia="cs-CZ"/>
              </w:rPr>
            </w:pPr>
          </w:p>
        </w:tc>
        <w:tc>
          <w:tcPr>
            <w:tcW w:w="992" w:type="dxa"/>
            <w:tcBorders>
              <w:top w:val="nil"/>
              <w:left w:val="nil"/>
              <w:bottom w:val="nil"/>
              <w:right w:val="nil"/>
            </w:tcBorders>
            <w:shd w:val="clear" w:color="auto" w:fill="auto"/>
            <w:noWrap/>
            <w:vAlign w:val="bottom"/>
            <w:hideMark/>
          </w:tcPr>
          <w:p w14:paraId="1984413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p>
        </w:tc>
        <w:tc>
          <w:tcPr>
            <w:tcW w:w="709" w:type="dxa"/>
            <w:tcBorders>
              <w:top w:val="nil"/>
              <w:left w:val="nil"/>
              <w:bottom w:val="nil"/>
              <w:right w:val="nil"/>
            </w:tcBorders>
            <w:shd w:val="clear" w:color="auto" w:fill="auto"/>
            <w:noWrap/>
            <w:vAlign w:val="bottom"/>
            <w:hideMark/>
          </w:tcPr>
          <w:p w14:paraId="01C7CDA8"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6929493F"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8" w:type="dxa"/>
            <w:tcBorders>
              <w:top w:val="nil"/>
              <w:left w:val="nil"/>
              <w:bottom w:val="nil"/>
              <w:right w:val="nil"/>
            </w:tcBorders>
            <w:shd w:val="clear" w:color="auto" w:fill="auto"/>
            <w:noWrap/>
            <w:vAlign w:val="bottom"/>
            <w:hideMark/>
          </w:tcPr>
          <w:p w14:paraId="6FEBDDF6"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46AF22A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47D20783"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5F76FD10"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72D72BC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43B81AE9"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08ED2268"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0C4DA762"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1A1B058A"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16" w:type="dxa"/>
            <w:gridSpan w:val="2"/>
            <w:tcBorders>
              <w:top w:val="nil"/>
              <w:left w:val="nil"/>
              <w:bottom w:val="nil"/>
              <w:right w:val="nil"/>
            </w:tcBorders>
            <w:shd w:val="clear" w:color="auto" w:fill="auto"/>
            <w:noWrap/>
            <w:vAlign w:val="bottom"/>
            <w:hideMark/>
          </w:tcPr>
          <w:p w14:paraId="19B035AF"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510" w:type="dxa"/>
            <w:tcBorders>
              <w:top w:val="nil"/>
              <w:left w:val="nil"/>
              <w:bottom w:val="nil"/>
              <w:right w:val="nil"/>
            </w:tcBorders>
            <w:shd w:val="clear" w:color="auto" w:fill="auto"/>
            <w:noWrap/>
            <w:vAlign w:val="bottom"/>
            <w:hideMark/>
          </w:tcPr>
          <w:p w14:paraId="1808370B"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0E346AE1"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r>
      <w:tr w:rsidR="00724B00" w:rsidRPr="00C334AB" w14:paraId="4F2EA0B8" w14:textId="77777777" w:rsidTr="005865E4">
        <w:tc>
          <w:tcPr>
            <w:tcW w:w="1985" w:type="dxa"/>
            <w:tcBorders>
              <w:top w:val="nil"/>
              <w:left w:val="nil"/>
              <w:bottom w:val="nil"/>
              <w:right w:val="nil"/>
            </w:tcBorders>
            <w:shd w:val="clear" w:color="auto" w:fill="auto"/>
            <w:noWrap/>
            <w:vAlign w:val="bottom"/>
            <w:hideMark/>
          </w:tcPr>
          <w:p w14:paraId="1E724C0E"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21DC89C2"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249D94B2"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4C5E3380"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54EA903D"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45AC4CBA"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8" w:type="dxa"/>
            <w:tcBorders>
              <w:top w:val="nil"/>
              <w:left w:val="nil"/>
              <w:bottom w:val="nil"/>
              <w:right w:val="nil"/>
            </w:tcBorders>
            <w:shd w:val="clear" w:color="auto" w:fill="auto"/>
            <w:noWrap/>
            <w:vAlign w:val="bottom"/>
            <w:hideMark/>
          </w:tcPr>
          <w:p w14:paraId="7E0849DE"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1F06C2B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61696E27"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24B3AF6D"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1C5DB999"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52A5E39E"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411A17B7"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210C8FDD"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79F7D697"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16" w:type="dxa"/>
            <w:gridSpan w:val="2"/>
            <w:tcBorders>
              <w:top w:val="nil"/>
              <w:left w:val="nil"/>
              <w:bottom w:val="nil"/>
              <w:right w:val="nil"/>
            </w:tcBorders>
            <w:shd w:val="clear" w:color="auto" w:fill="auto"/>
            <w:noWrap/>
            <w:vAlign w:val="bottom"/>
            <w:hideMark/>
          </w:tcPr>
          <w:p w14:paraId="33F05FB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510" w:type="dxa"/>
            <w:tcBorders>
              <w:top w:val="nil"/>
              <w:left w:val="nil"/>
              <w:bottom w:val="nil"/>
              <w:right w:val="nil"/>
            </w:tcBorders>
            <w:shd w:val="clear" w:color="auto" w:fill="auto"/>
            <w:noWrap/>
            <w:vAlign w:val="bottom"/>
            <w:hideMark/>
          </w:tcPr>
          <w:p w14:paraId="279572F5"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2B67FBAB"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r>
      <w:tr w:rsidR="00724B00" w:rsidRPr="00C334AB" w14:paraId="543A54F1" w14:textId="77777777" w:rsidTr="005865E4">
        <w:tc>
          <w:tcPr>
            <w:tcW w:w="1985" w:type="dxa"/>
            <w:tcBorders>
              <w:top w:val="nil"/>
              <w:left w:val="nil"/>
              <w:bottom w:val="nil"/>
              <w:right w:val="nil"/>
            </w:tcBorders>
            <w:shd w:val="clear" w:color="auto" w:fill="auto"/>
            <w:noWrap/>
            <w:vAlign w:val="bottom"/>
            <w:hideMark/>
          </w:tcPr>
          <w:p w14:paraId="4AD88544"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6F7D540C"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E421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0AAF1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EC08C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19AB1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C4467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CF881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A58E4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B515B5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2B09E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28AEC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C5CE6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B8D060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2D6A5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12</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4D0F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61E0586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14</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76AC8A1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15 a více</w:t>
            </w:r>
          </w:p>
        </w:tc>
      </w:tr>
      <w:tr w:rsidR="00724B00" w:rsidRPr="00C334AB" w14:paraId="7B66938A" w14:textId="77777777" w:rsidTr="005865E4">
        <w:tc>
          <w:tcPr>
            <w:tcW w:w="1985" w:type="dxa"/>
            <w:tcBorders>
              <w:top w:val="nil"/>
              <w:left w:val="nil"/>
              <w:bottom w:val="nil"/>
              <w:right w:val="nil"/>
            </w:tcBorders>
            <w:shd w:val="clear" w:color="auto" w:fill="auto"/>
            <w:noWrap/>
            <w:vAlign w:val="bottom"/>
            <w:hideMark/>
          </w:tcPr>
          <w:p w14:paraId="5CD9919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p>
        </w:tc>
        <w:tc>
          <w:tcPr>
            <w:tcW w:w="709" w:type="dxa"/>
            <w:tcBorders>
              <w:top w:val="nil"/>
              <w:left w:val="nil"/>
              <w:bottom w:val="nil"/>
              <w:right w:val="nil"/>
            </w:tcBorders>
            <w:shd w:val="clear" w:color="auto" w:fill="auto"/>
            <w:noWrap/>
            <w:vAlign w:val="bottom"/>
            <w:hideMark/>
          </w:tcPr>
          <w:p w14:paraId="21B256B9" w14:textId="77777777" w:rsidR="00C334AB" w:rsidRPr="00C334AB" w:rsidRDefault="00C334AB" w:rsidP="00C334AB">
            <w:pPr>
              <w:spacing w:after="0" w:line="240" w:lineRule="auto"/>
              <w:rPr>
                <w:rFonts w:ascii="Times New Roman" w:eastAsia="Times New Roman" w:hAnsi="Times New Roman" w:cs="Times New Roman"/>
                <w:sz w:val="16"/>
                <w:szCs w:val="16"/>
                <w:lang w:eastAsia="cs-CZ"/>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1B5B206"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C0010</w:t>
            </w:r>
          </w:p>
        </w:tc>
        <w:tc>
          <w:tcPr>
            <w:tcW w:w="992" w:type="dxa"/>
            <w:tcBorders>
              <w:top w:val="nil"/>
              <w:left w:val="nil"/>
              <w:bottom w:val="single" w:sz="4" w:space="0" w:color="auto"/>
              <w:right w:val="single" w:sz="4" w:space="0" w:color="auto"/>
            </w:tcBorders>
            <w:shd w:val="clear" w:color="auto" w:fill="auto"/>
            <w:noWrap/>
            <w:vAlign w:val="bottom"/>
            <w:hideMark/>
          </w:tcPr>
          <w:p w14:paraId="427B8093"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C0020</w:t>
            </w:r>
          </w:p>
        </w:tc>
        <w:tc>
          <w:tcPr>
            <w:tcW w:w="709" w:type="dxa"/>
            <w:tcBorders>
              <w:top w:val="nil"/>
              <w:left w:val="nil"/>
              <w:bottom w:val="single" w:sz="4" w:space="0" w:color="auto"/>
              <w:right w:val="single" w:sz="4" w:space="0" w:color="auto"/>
            </w:tcBorders>
            <w:shd w:val="clear" w:color="auto" w:fill="auto"/>
            <w:noWrap/>
            <w:vAlign w:val="bottom"/>
            <w:hideMark/>
          </w:tcPr>
          <w:p w14:paraId="17004C9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C0030</w:t>
            </w:r>
          </w:p>
        </w:tc>
        <w:tc>
          <w:tcPr>
            <w:tcW w:w="709" w:type="dxa"/>
            <w:tcBorders>
              <w:top w:val="nil"/>
              <w:left w:val="nil"/>
              <w:bottom w:val="single" w:sz="4" w:space="0" w:color="auto"/>
              <w:right w:val="single" w:sz="4" w:space="0" w:color="auto"/>
            </w:tcBorders>
            <w:shd w:val="clear" w:color="auto" w:fill="auto"/>
            <w:noWrap/>
            <w:vAlign w:val="bottom"/>
            <w:hideMark/>
          </w:tcPr>
          <w:p w14:paraId="0185FCE5"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C0040</w:t>
            </w:r>
          </w:p>
        </w:tc>
        <w:tc>
          <w:tcPr>
            <w:tcW w:w="708" w:type="dxa"/>
            <w:tcBorders>
              <w:top w:val="nil"/>
              <w:left w:val="nil"/>
              <w:bottom w:val="single" w:sz="4" w:space="0" w:color="auto"/>
              <w:right w:val="single" w:sz="4" w:space="0" w:color="auto"/>
            </w:tcBorders>
            <w:shd w:val="clear" w:color="auto" w:fill="auto"/>
            <w:noWrap/>
            <w:vAlign w:val="bottom"/>
            <w:hideMark/>
          </w:tcPr>
          <w:p w14:paraId="0C4382BC"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C0050</w:t>
            </w:r>
          </w:p>
        </w:tc>
        <w:tc>
          <w:tcPr>
            <w:tcW w:w="709" w:type="dxa"/>
            <w:tcBorders>
              <w:top w:val="nil"/>
              <w:left w:val="nil"/>
              <w:bottom w:val="single" w:sz="4" w:space="0" w:color="auto"/>
              <w:right w:val="single" w:sz="4" w:space="0" w:color="auto"/>
            </w:tcBorders>
            <w:shd w:val="clear" w:color="auto" w:fill="auto"/>
            <w:noWrap/>
            <w:vAlign w:val="bottom"/>
            <w:hideMark/>
          </w:tcPr>
          <w:p w14:paraId="14FB19DA"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C0060</w:t>
            </w:r>
          </w:p>
        </w:tc>
        <w:tc>
          <w:tcPr>
            <w:tcW w:w="851" w:type="dxa"/>
            <w:tcBorders>
              <w:top w:val="nil"/>
              <w:left w:val="nil"/>
              <w:bottom w:val="single" w:sz="4" w:space="0" w:color="auto"/>
              <w:right w:val="single" w:sz="4" w:space="0" w:color="auto"/>
            </w:tcBorders>
            <w:shd w:val="clear" w:color="auto" w:fill="auto"/>
            <w:noWrap/>
            <w:vAlign w:val="bottom"/>
            <w:hideMark/>
          </w:tcPr>
          <w:p w14:paraId="001B7DFA"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C0070</w:t>
            </w:r>
          </w:p>
        </w:tc>
        <w:tc>
          <w:tcPr>
            <w:tcW w:w="850" w:type="dxa"/>
            <w:tcBorders>
              <w:top w:val="nil"/>
              <w:left w:val="nil"/>
              <w:bottom w:val="single" w:sz="4" w:space="0" w:color="auto"/>
              <w:right w:val="single" w:sz="4" w:space="0" w:color="auto"/>
            </w:tcBorders>
            <w:shd w:val="clear" w:color="auto" w:fill="auto"/>
            <w:noWrap/>
            <w:vAlign w:val="bottom"/>
            <w:hideMark/>
          </w:tcPr>
          <w:p w14:paraId="39BC9D6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C0080</w:t>
            </w:r>
          </w:p>
        </w:tc>
        <w:tc>
          <w:tcPr>
            <w:tcW w:w="709" w:type="dxa"/>
            <w:tcBorders>
              <w:top w:val="nil"/>
              <w:left w:val="nil"/>
              <w:bottom w:val="single" w:sz="4" w:space="0" w:color="auto"/>
              <w:right w:val="single" w:sz="4" w:space="0" w:color="auto"/>
            </w:tcBorders>
            <w:shd w:val="clear" w:color="auto" w:fill="auto"/>
            <w:noWrap/>
            <w:vAlign w:val="bottom"/>
            <w:hideMark/>
          </w:tcPr>
          <w:p w14:paraId="13EE3AE4"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C0090</w:t>
            </w:r>
          </w:p>
        </w:tc>
        <w:tc>
          <w:tcPr>
            <w:tcW w:w="850" w:type="dxa"/>
            <w:tcBorders>
              <w:top w:val="nil"/>
              <w:left w:val="nil"/>
              <w:bottom w:val="single" w:sz="4" w:space="0" w:color="auto"/>
              <w:right w:val="single" w:sz="4" w:space="0" w:color="auto"/>
            </w:tcBorders>
            <w:shd w:val="clear" w:color="auto" w:fill="auto"/>
            <w:noWrap/>
            <w:vAlign w:val="bottom"/>
            <w:hideMark/>
          </w:tcPr>
          <w:p w14:paraId="35560031"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C0100</w:t>
            </w:r>
          </w:p>
        </w:tc>
        <w:tc>
          <w:tcPr>
            <w:tcW w:w="851" w:type="dxa"/>
            <w:tcBorders>
              <w:top w:val="nil"/>
              <w:left w:val="nil"/>
              <w:bottom w:val="single" w:sz="4" w:space="0" w:color="auto"/>
              <w:right w:val="single" w:sz="4" w:space="0" w:color="auto"/>
            </w:tcBorders>
            <w:shd w:val="clear" w:color="auto" w:fill="auto"/>
            <w:noWrap/>
            <w:vAlign w:val="bottom"/>
            <w:hideMark/>
          </w:tcPr>
          <w:p w14:paraId="3F521697"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C0110</w:t>
            </w:r>
          </w:p>
        </w:tc>
        <w:tc>
          <w:tcPr>
            <w:tcW w:w="850" w:type="dxa"/>
            <w:tcBorders>
              <w:top w:val="nil"/>
              <w:left w:val="nil"/>
              <w:bottom w:val="single" w:sz="4" w:space="0" w:color="auto"/>
              <w:right w:val="single" w:sz="4" w:space="0" w:color="auto"/>
            </w:tcBorders>
            <w:shd w:val="clear" w:color="auto" w:fill="auto"/>
            <w:noWrap/>
            <w:vAlign w:val="bottom"/>
            <w:hideMark/>
          </w:tcPr>
          <w:p w14:paraId="4B3980F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C0120</w:t>
            </w:r>
          </w:p>
        </w:tc>
        <w:tc>
          <w:tcPr>
            <w:tcW w:w="851" w:type="dxa"/>
            <w:tcBorders>
              <w:top w:val="nil"/>
              <w:left w:val="nil"/>
              <w:bottom w:val="single" w:sz="4" w:space="0" w:color="auto"/>
              <w:right w:val="single" w:sz="4" w:space="0" w:color="auto"/>
            </w:tcBorders>
            <w:shd w:val="clear" w:color="auto" w:fill="auto"/>
            <w:noWrap/>
            <w:vAlign w:val="bottom"/>
            <w:hideMark/>
          </w:tcPr>
          <w:p w14:paraId="7814481B"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C0130</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D1F3A9B"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C0140</w:t>
            </w:r>
          </w:p>
        </w:tc>
        <w:tc>
          <w:tcPr>
            <w:tcW w:w="510" w:type="dxa"/>
            <w:tcBorders>
              <w:top w:val="nil"/>
              <w:left w:val="nil"/>
              <w:bottom w:val="single" w:sz="4" w:space="0" w:color="auto"/>
              <w:right w:val="single" w:sz="4" w:space="0" w:color="auto"/>
            </w:tcBorders>
            <w:shd w:val="clear" w:color="auto" w:fill="auto"/>
            <w:noWrap/>
            <w:vAlign w:val="bottom"/>
            <w:hideMark/>
          </w:tcPr>
          <w:p w14:paraId="72181D74"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C0150</w:t>
            </w:r>
          </w:p>
        </w:tc>
        <w:tc>
          <w:tcPr>
            <w:tcW w:w="758" w:type="dxa"/>
            <w:tcBorders>
              <w:top w:val="nil"/>
              <w:left w:val="nil"/>
              <w:bottom w:val="single" w:sz="4" w:space="0" w:color="auto"/>
              <w:right w:val="single" w:sz="4" w:space="0" w:color="auto"/>
            </w:tcBorders>
            <w:shd w:val="clear" w:color="auto" w:fill="auto"/>
            <w:noWrap/>
            <w:vAlign w:val="bottom"/>
            <w:hideMark/>
          </w:tcPr>
          <w:p w14:paraId="222EE07B"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C0160</w:t>
            </w:r>
          </w:p>
        </w:tc>
      </w:tr>
      <w:tr w:rsidR="001D69FF" w:rsidRPr="00C334AB" w14:paraId="08FE7514" w14:textId="77777777" w:rsidTr="005865E4">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7129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Předchozí</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FFAD9"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R0100</w:t>
            </w:r>
          </w:p>
        </w:tc>
        <w:tc>
          <w:tcPr>
            <w:tcW w:w="992" w:type="dxa"/>
            <w:tcBorders>
              <w:top w:val="nil"/>
              <w:left w:val="nil"/>
              <w:bottom w:val="single" w:sz="4" w:space="0" w:color="auto"/>
              <w:right w:val="single" w:sz="4" w:space="0" w:color="auto"/>
            </w:tcBorders>
            <w:shd w:val="clear" w:color="000000" w:fill="BFBFBF"/>
            <w:noWrap/>
            <w:vAlign w:val="bottom"/>
            <w:hideMark/>
          </w:tcPr>
          <w:p w14:paraId="05D73D3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2D53128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6FBD3A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5F3E0D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5804BDB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8EFF99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947E2D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5D60DA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FD768D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5DD9C0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1B8956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148AC3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C02C5E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416F945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709AFB5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FFFFFF"/>
            <w:noWrap/>
            <w:vAlign w:val="bottom"/>
            <w:hideMark/>
          </w:tcPr>
          <w:p w14:paraId="04AA013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38326EE2"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4DE33A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N–14</w:t>
            </w:r>
          </w:p>
        </w:tc>
        <w:tc>
          <w:tcPr>
            <w:tcW w:w="709" w:type="dxa"/>
            <w:tcBorders>
              <w:top w:val="nil"/>
              <w:left w:val="nil"/>
              <w:bottom w:val="single" w:sz="4" w:space="0" w:color="auto"/>
              <w:right w:val="single" w:sz="4" w:space="0" w:color="auto"/>
            </w:tcBorders>
            <w:shd w:val="clear" w:color="auto" w:fill="auto"/>
            <w:noWrap/>
            <w:vAlign w:val="bottom"/>
            <w:hideMark/>
          </w:tcPr>
          <w:p w14:paraId="7B70F1D2"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R0110</w:t>
            </w:r>
          </w:p>
        </w:tc>
        <w:tc>
          <w:tcPr>
            <w:tcW w:w="992" w:type="dxa"/>
            <w:tcBorders>
              <w:top w:val="nil"/>
              <w:left w:val="nil"/>
              <w:bottom w:val="single" w:sz="4" w:space="0" w:color="auto"/>
              <w:right w:val="single" w:sz="4" w:space="0" w:color="auto"/>
            </w:tcBorders>
            <w:shd w:val="clear" w:color="000000" w:fill="FFFFFF"/>
            <w:noWrap/>
            <w:vAlign w:val="bottom"/>
            <w:hideMark/>
          </w:tcPr>
          <w:p w14:paraId="36FA092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3E5E1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0AD277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DCF20F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1E31B5A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412611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022B91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F249C2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A86448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BFED8A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ACAB66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DC402D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3AE4DF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FFFFFF"/>
            <w:noWrap/>
            <w:vAlign w:val="bottom"/>
            <w:hideMark/>
          </w:tcPr>
          <w:p w14:paraId="20F1145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5BA6BFE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271DAAE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77DE8896"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D49D7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N–13</w:t>
            </w:r>
          </w:p>
        </w:tc>
        <w:tc>
          <w:tcPr>
            <w:tcW w:w="709" w:type="dxa"/>
            <w:tcBorders>
              <w:top w:val="nil"/>
              <w:left w:val="nil"/>
              <w:bottom w:val="single" w:sz="4" w:space="0" w:color="auto"/>
              <w:right w:val="single" w:sz="4" w:space="0" w:color="auto"/>
            </w:tcBorders>
            <w:shd w:val="clear" w:color="auto" w:fill="auto"/>
            <w:noWrap/>
            <w:vAlign w:val="bottom"/>
            <w:hideMark/>
          </w:tcPr>
          <w:p w14:paraId="54A964AC"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R0120</w:t>
            </w:r>
          </w:p>
        </w:tc>
        <w:tc>
          <w:tcPr>
            <w:tcW w:w="992" w:type="dxa"/>
            <w:tcBorders>
              <w:top w:val="nil"/>
              <w:left w:val="nil"/>
              <w:bottom w:val="single" w:sz="4" w:space="0" w:color="auto"/>
              <w:right w:val="single" w:sz="4" w:space="0" w:color="auto"/>
            </w:tcBorders>
            <w:shd w:val="clear" w:color="000000" w:fill="FFFFFF"/>
            <w:noWrap/>
            <w:vAlign w:val="bottom"/>
            <w:hideMark/>
          </w:tcPr>
          <w:p w14:paraId="01880C2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B4713B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0CBAA9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05B819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187AD4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D0EC5A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AC130C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078C9A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4DC446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13953F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F56690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107B33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F7238A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FFFFFF"/>
            <w:noWrap/>
            <w:vAlign w:val="bottom"/>
            <w:hideMark/>
          </w:tcPr>
          <w:p w14:paraId="2BF3BD4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0B019A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3ED476C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25681BDD"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F2AD4D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N–12</w:t>
            </w:r>
          </w:p>
        </w:tc>
        <w:tc>
          <w:tcPr>
            <w:tcW w:w="709" w:type="dxa"/>
            <w:tcBorders>
              <w:top w:val="nil"/>
              <w:left w:val="nil"/>
              <w:bottom w:val="single" w:sz="4" w:space="0" w:color="auto"/>
              <w:right w:val="single" w:sz="4" w:space="0" w:color="auto"/>
            </w:tcBorders>
            <w:shd w:val="clear" w:color="auto" w:fill="auto"/>
            <w:noWrap/>
            <w:vAlign w:val="bottom"/>
            <w:hideMark/>
          </w:tcPr>
          <w:p w14:paraId="1933D06A"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R0130</w:t>
            </w:r>
          </w:p>
        </w:tc>
        <w:tc>
          <w:tcPr>
            <w:tcW w:w="992" w:type="dxa"/>
            <w:tcBorders>
              <w:top w:val="nil"/>
              <w:left w:val="nil"/>
              <w:bottom w:val="single" w:sz="4" w:space="0" w:color="auto"/>
              <w:right w:val="single" w:sz="4" w:space="0" w:color="auto"/>
            </w:tcBorders>
            <w:shd w:val="clear" w:color="000000" w:fill="FFFFFF"/>
            <w:noWrap/>
            <w:vAlign w:val="bottom"/>
            <w:hideMark/>
          </w:tcPr>
          <w:p w14:paraId="73CF2E9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E3B975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F29FD3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8E4C0C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AC4BEB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8D4D78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85C611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B0527C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FD43CF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C33754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D26B20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089A2B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B3357C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7BBC958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0CC193F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9574E6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0608EAAB"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01C1B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N–11</w:t>
            </w:r>
          </w:p>
        </w:tc>
        <w:tc>
          <w:tcPr>
            <w:tcW w:w="709" w:type="dxa"/>
            <w:tcBorders>
              <w:top w:val="nil"/>
              <w:left w:val="nil"/>
              <w:bottom w:val="single" w:sz="4" w:space="0" w:color="auto"/>
              <w:right w:val="single" w:sz="4" w:space="0" w:color="auto"/>
            </w:tcBorders>
            <w:shd w:val="clear" w:color="auto" w:fill="auto"/>
            <w:noWrap/>
            <w:vAlign w:val="bottom"/>
            <w:hideMark/>
          </w:tcPr>
          <w:p w14:paraId="2C71F19C"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R0140</w:t>
            </w:r>
          </w:p>
        </w:tc>
        <w:tc>
          <w:tcPr>
            <w:tcW w:w="992" w:type="dxa"/>
            <w:tcBorders>
              <w:top w:val="nil"/>
              <w:left w:val="nil"/>
              <w:bottom w:val="single" w:sz="4" w:space="0" w:color="auto"/>
              <w:right w:val="single" w:sz="4" w:space="0" w:color="auto"/>
            </w:tcBorders>
            <w:shd w:val="clear" w:color="000000" w:fill="FFFFFF"/>
            <w:noWrap/>
            <w:vAlign w:val="bottom"/>
            <w:hideMark/>
          </w:tcPr>
          <w:p w14:paraId="2A4EBCD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9B090A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5A92D4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639FC5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29936F6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825806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1BB11C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0A5175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87E4D8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071593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77746C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5E4017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717ECC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0BE4100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748703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1055E8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30046085"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1F526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N–10</w:t>
            </w:r>
          </w:p>
        </w:tc>
        <w:tc>
          <w:tcPr>
            <w:tcW w:w="709" w:type="dxa"/>
            <w:tcBorders>
              <w:top w:val="nil"/>
              <w:left w:val="nil"/>
              <w:bottom w:val="single" w:sz="4" w:space="0" w:color="auto"/>
              <w:right w:val="single" w:sz="4" w:space="0" w:color="auto"/>
            </w:tcBorders>
            <w:shd w:val="clear" w:color="auto" w:fill="auto"/>
            <w:noWrap/>
            <w:vAlign w:val="bottom"/>
            <w:hideMark/>
          </w:tcPr>
          <w:p w14:paraId="0FA805D1"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R0150</w:t>
            </w:r>
          </w:p>
        </w:tc>
        <w:tc>
          <w:tcPr>
            <w:tcW w:w="992" w:type="dxa"/>
            <w:tcBorders>
              <w:top w:val="nil"/>
              <w:left w:val="nil"/>
              <w:bottom w:val="single" w:sz="4" w:space="0" w:color="auto"/>
              <w:right w:val="single" w:sz="4" w:space="0" w:color="auto"/>
            </w:tcBorders>
            <w:shd w:val="clear" w:color="000000" w:fill="FFFFFF"/>
            <w:noWrap/>
            <w:vAlign w:val="bottom"/>
            <w:hideMark/>
          </w:tcPr>
          <w:p w14:paraId="3BF3EDB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F2F6D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EF592B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0B52A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636F6D8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4CA5E4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28F185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6A59FF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AF5AE5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E2D94D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5B3211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4086EC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28EADD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36AF2FE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79CE5A6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C6E56C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4E36F206"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2F79FC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N–9</w:t>
            </w:r>
          </w:p>
        </w:tc>
        <w:tc>
          <w:tcPr>
            <w:tcW w:w="709" w:type="dxa"/>
            <w:tcBorders>
              <w:top w:val="nil"/>
              <w:left w:val="nil"/>
              <w:bottom w:val="single" w:sz="4" w:space="0" w:color="auto"/>
              <w:right w:val="single" w:sz="4" w:space="0" w:color="auto"/>
            </w:tcBorders>
            <w:shd w:val="clear" w:color="auto" w:fill="auto"/>
            <w:noWrap/>
            <w:vAlign w:val="bottom"/>
            <w:hideMark/>
          </w:tcPr>
          <w:p w14:paraId="60B8E6B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R0160</w:t>
            </w:r>
          </w:p>
        </w:tc>
        <w:tc>
          <w:tcPr>
            <w:tcW w:w="992" w:type="dxa"/>
            <w:tcBorders>
              <w:top w:val="nil"/>
              <w:left w:val="nil"/>
              <w:bottom w:val="single" w:sz="4" w:space="0" w:color="auto"/>
              <w:right w:val="single" w:sz="4" w:space="0" w:color="auto"/>
            </w:tcBorders>
            <w:shd w:val="clear" w:color="000000" w:fill="FFFFFF"/>
            <w:noWrap/>
            <w:vAlign w:val="bottom"/>
            <w:hideMark/>
          </w:tcPr>
          <w:p w14:paraId="3076C88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7F7ADA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3CE760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292BC8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256E2D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A49A94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6F0BC3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C71BAF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21E4A8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F1F059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4269A8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802B55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AF46A7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6DA5C54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0B8E116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643E89B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3E5273BA"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CEFAC4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N–8</w:t>
            </w:r>
          </w:p>
        </w:tc>
        <w:tc>
          <w:tcPr>
            <w:tcW w:w="709" w:type="dxa"/>
            <w:tcBorders>
              <w:top w:val="nil"/>
              <w:left w:val="nil"/>
              <w:bottom w:val="single" w:sz="4" w:space="0" w:color="auto"/>
              <w:right w:val="single" w:sz="4" w:space="0" w:color="auto"/>
            </w:tcBorders>
            <w:shd w:val="clear" w:color="auto" w:fill="auto"/>
            <w:noWrap/>
            <w:vAlign w:val="bottom"/>
            <w:hideMark/>
          </w:tcPr>
          <w:p w14:paraId="01B08F9D"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R0170</w:t>
            </w:r>
          </w:p>
        </w:tc>
        <w:tc>
          <w:tcPr>
            <w:tcW w:w="992" w:type="dxa"/>
            <w:tcBorders>
              <w:top w:val="nil"/>
              <w:left w:val="nil"/>
              <w:bottom w:val="single" w:sz="4" w:space="0" w:color="auto"/>
              <w:right w:val="single" w:sz="4" w:space="0" w:color="auto"/>
            </w:tcBorders>
            <w:shd w:val="clear" w:color="000000" w:fill="FFFFFF"/>
            <w:noWrap/>
            <w:vAlign w:val="bottom"/>
            <w:hideMark/>
          </w:tcPr>
          <w:p w14:paraId="6D82248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BFDBC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F5F73E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BEF36F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331D9DB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2376CF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35BF52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9D8C69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C4663A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36988E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2B60FB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D85946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89A305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6E3E6BE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6BBE4A0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E2A783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362F2F28"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2E84C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N–7</w:t>
            </w:r>
          </w:p>
        </w:tc>
        <w:tc>
          <w:tcPr>
            <w:tcW w:w="709" w:type="dxa"/>
            <w:tcBorders>
              <w:top w:val="nil"/>
              <w:left w:val="nil"/>
              <w:bottom w:val="single" w:sz="4" w:space="0" w:color="auto"/>
              <w:right w:val="single" w:sz="4" w:space="0" w:color="auto"/>
            </w:tcBorders>
            <w:shd w:val="clear" w:color="auto" w:fill="auto"/>
            <w:noWrap/>
            <w:vAlign w:val="bottom"/>
            <w:hideMark/>
          </w:tcPr>
          <w:p w14:paraId="1FA7C651"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R0180</w:t>
            </w:r>
          </w:p>
        </w:tc>
        <w:tc>
          <w:tcPr>
            <w:tcW w:w="992" w:type="dxa"/>
            <w:tcBorders>
              <w:top w:val="nil"/>
              <w:left w:val="nil"/>
              <w:bottom w:val="single" w:sz="4" w:space="0" w:color="auto"/>
              <w:right w:val="single" w:sz="4" w:space="0" w:color="auto"/>
            </w:tcBorders>
            <w:shd w:val="clear" w:color="000000" w:fill="FFFFFF"/>
            <w:noWrap/>
            <w:vAlign w:val="bottom"/>
            <w:hideMark/>
          </w:tcPr>
          <w:p w14:paraId="026FE1F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93CF16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2062ED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23F31C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D65E3C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8DF46F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8B35CF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402F9C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136078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0CBF95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C29986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2C9B0A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E8A670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7E9E92F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2479D6E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135C0B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6662C5A8"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B30E2F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N–6</w:t>
            </w:r>
          </w:p>
        </w:tc>
        <w:tc>
          <w:tcPr>
            <w:tcW w:w="709" w:type="dxa"/>
            <w:tcBorders>
              <w:top w:val="nil"/>
              <w:left w:val="nil"/>
              <w:bottom w:val="single" w:sz="4" w:space="0" w:color="auto"/>
              <w:right w:val="single" w:sz="4" w:space="0" w:color="auto"/>
            </w:tcBorders>
            <w:shd w:val="clear" w:color="auto" w:fill="auto"/>
            <w:noWrap/>
            <w:vAlign w:val="bottom"/>
            <w:hideMark/>
          </w:tcPr>
          <w:p w14:paraId="2D807BAB"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R0190</w:t>
            </w:r>
          </w:p>
        </w:tc>
        <w:tc>
          <w:tcPr>
            <w:tcW w:w="992" w:type="dxa"/>
            <w:tcBorders>
              <w:top w:val="nil"/>
              <w:left w:val="nil"/>
              <w:bottom w:val="single" w:sz="4" w:space="0" w:color="auto"/>
              <w:right w:val="single" w:sz="4" w:space="0" w:color="auto"/>
            </w:tcBorders>
            <w:shd w:val="clear" w:color="000000" w:fill="FFFFFF"/>
            <w:noWrap/>
            <w:vAlign w:val="bottom"/>
            <w:hideMark/>
          </w:tcPr>
          <w:p w14:paraId="351529B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7EDF5C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EF976E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3545A6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661E233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D3A25D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C969D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BED34D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610111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16D618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C4413C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AB84E1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B982E8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783CF18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550A28F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01D1BD9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3CF3EA75"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645B7A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N–5</w:t>
            </w:r>
          </w:p>
        </w:tc>
        <w:tc>
          <w:tcPr>
            <w:tcW w:w="709" w:type="dxa"/>
            <w:tcBorders>
              <w:top w:val="nil"/>
              <w:left w:val="nil"/>
              <w:bottom w:val="single" w:sz="4" w:space="0" w:color="auto"/>
              <w:right w:val="single" w:sz="4" w:space="0" w:color="auto"/>
            </w:tcBorders>
            <w:shd w:val="clear" w:color="auto" w:fill="auto"/>
            <w:noWrap/>
            <w:vAlign w:val="bottom"/>
            <w:hideMark/>
          </w:tcPr>
          <w:p w14:paraId="6BA2F7DA"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R0200</w:t>
            </w:r>
          </w:p>
        </w:tc>
        <w:tc>
          <w:tcPr>
            <w:tcW w:w="992" w:type="dxa"/>
            <w:tcBorders>
              <w:top w:val="nil"/>
              <w:left w:val="nil"/>
              <w:bottom w:val="single" w:sz="4" w:space="0" w:color="auto"/>
              <w:right w:val="single" w:sz="4" w:space="0" w:color="auto"/>
            </w:tcBorders>
            <w:shd w:val="clear" w:color="000000" w:fill="FFFFFF"/>
            <w:noWrap/>
            <w:vAlign w:val="bottom"/>
            <w:hideMark/>
          </w:tcPr>
          <w:p w14:paraId="660B47F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D51D4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FD2313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DB7232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15CCB25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8E364C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69E6C6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6B18F2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4CD75A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927612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6C62A8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B5B047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DC8222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51D202F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00C963D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9076D2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12993DDD"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7655A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N–4</w:t>
            </w:r>
          </w:p>
        </w:tc>
        <w:tc>
          <w:tcPr>
            <w:tcW w:w="709" w:type="dxa"/>
            <w:tcBorders>
              <w:top w:val="nil"/>
              <w:left w:val="nil"/>
              <w:bottom w:val="single" w:sz="4" w:space="0" w:color="auto"/>
              <w:right w:val="single" w:sz="4" w:space="0" w:color="auto"/>
            </w:tcBorders>
            <w:shd w:val="clear" w:color="auto" w:fill="auto"/>
            <w:noWrap/>
            <w:vAlign w:val="bottom"/>
            <w:hideMark/>
          </w:tcPr>
          <w:p w14:paraId="7AC0EEFC"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R0210</w:t>
            </w:r>
          </w:p>
        </w:tc>
        <w:tc>
          <w:tcPr>
            <w:tcW w:w="992" w:type="dxa"/>
            <w:tcBorders>
              <w:top w:val="nil"/>
              <w:left w:val="nil"/>
              <w:bottom w:val="single" w:sz="4" w:space="0" w:color="auto"/>
              <w:right w:val="single" w:sz="4" w:space="0" w:color="auto"/>
            </w:tcBorders>
            <w:shd w:val="clear" w:color="000000" w:fill="FFFFFF"/>
            <w:noWrap/>
            <w:vAlign w:val="bottom"/>
            <w:hideMark/>
          </w:tcPr>
          <w:p w14:paraId="569D3B8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02496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7C671E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30B4B1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34D358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40A88E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331F29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E35207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72B4E3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36598A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B9D5F4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F5D449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81D436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35AE90A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04EFCA7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E36AD0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004515EA"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BE70A0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N–3</w:t>
            </w:r>
          </w:p>
        </w:tc>
        <w:tc>
          <w:tcPr>
            <w:tcW w:w="709" w:type="dxa"/>
            <w:tcBorders>
              <w:top w:val="nil"/>
              <w:left w:val="nil"/>
              <w:bottom w:val="single" w:sz="4" w:space="0" w:color="auto"/>
              <w:right w:val="single" w:sz="4" w:space="0" w:color="auto"/>
            </w:tcBorders>
            <w:shd w:val="clear" w:color="auto" w:fill="auto"/>
            <w:noWrap/>
            <w:vAlign w:val="bottom"/>
            <w:hideMark/>
          </w:tcPr>
          <w:p w14:paraId="09794222"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R0220</w:t>
            </w:r>
          </w:p>
        </w:tc>
        <w:tc>
          <w:tcPr>
            <w:tcW w:w="992" w:type="dxa"/>
            <w:tcBorders>
              <w:top w:val="nil"/>
              <w:left w:val="nil"/>
              <w:bottom w:val="single" w:sz="4" w:space="0" w:color="auto"/>
              <w:right w:val="single" w:sz="4" w:space="0" w:color="auto"/>
            </w:tcBorders>
            <w:shd w:val="clear" w:color="000000" w:fill="FFFFFF"/>
            <w:noWrap/>
            <w:vAlign w:val="bottom"/>
            <w:hideMark/>
          </w:tcPr>
          <w:p w14:paraId="0BEAC8A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92162C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0D71C2D"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760A07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50F814C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842B8CA"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2B7FFB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7D8E8C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7667B4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193FEA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59C23E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21B393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96E4E4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07BD606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0727C66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1BF4253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61C10671"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5665E7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N–2</w:t>
            </w:r>
          </w:p>
        </w:tc>
        <w:tc>
          <w:tcPr>
            <w:tcW w:w="709" w:type="dxa"/>
            <w:tcBorders>
              <w:top w:val="nil"/>
              <w:left w:val="nil"/>
              <w:bottom w:val="single" w:sz="4" w:space="0" w:color="auto"/>
              <w:right w:val="single" w:sz="4" w:space="0" w:color="auto"/>
            </w:tcBorders>
            <w:shd w:val="clear" w:color="auto" w:fill="auto"/>
            <w:noWrap/>
            <w:vAlign w:val="bottom"/>
            <w:hideMark/>
          </w:tcPr>
          <w:p w14:paraId="7341E3E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R0230</w:t>
            </w:r>
          </w:p>
        </w:tc>
        <w:tc>
          <w:tcPr>
            <w:tcW w:w="992" w:type="dxa"/>
            <w:tcBorders>
              <w:top w:val="nil"/>
              <w:left w:val="nil"/>
              <w:bottom w:val="single" w:sz="4" w:space="0" w:color="auto"/>
              <w:right w:val="single" w:sz="4" w:space="0" w:color="auto"/>
            </w:tcBorders>
            <w:shd w:val="clear" w:color="000000" w:fill="FFFFFF"/>
            <w:noWrap/>
            <w:vAlign w:val="bottom"/>
            <w:hideMark/>
          </w:tcPr>
          <w:p w14:paraId="41CFF3E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CC8B3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F05431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07ECF86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2902F9F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23C2B1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94DA0D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2212F3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E1CAD7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D37845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5DC49A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F0376C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2F0464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56C3C13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2ED75AA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16BCBD9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1D69FF" w:rsidRPr="00C334AB" w14:paraId="533132A2"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2101A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N–1</w:t>
            </w:r>
          </w:p>
        </w:tc>
        <w:tc>
          <w:tcPr>
            <w:tcW w:w="709" w:type="dxa"/>
            <w:tcBorders>
              <w:top w:val="nil"/>
              <w:left w:val="nil"/>
              <w:bottom w:val="single" w:sz="4" w:space="0" w:color="auto"/>
              <w:right w:val="single" w:sz="4" w:space="0" w:color="auto"/>
            </w:tcBorders>
            <w:shd w:val="clear" w:color="auto" w:fill="auto"/>
            <w:noWrap/>
            <w:vAlign w:val="bottom"/>
            <w:hideMark/>
          </w:tcPr>
          <w:p w14:paraId="1E4A47E1"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R0240</w:t>
            </w:r>
          </w:p>
        </w:tc>
        <w:tc>
          <w:tcPr>
            <w:tcW w:w="992" w:type="dxa"/>
            <w:tcBorders>
              <w:top w:val="nil"/>
              <w:left w:val="nil"/>
              <w:bottom w:val="single" w:sz="4" w:space="0" w:color="auto"/>
              <w:right w:val="single" w:sz="4" w:space="0" w:color="auto"/>
            </w:tcBorders>
            <w:shd w:val="clear" w:color="000000" w:fill="FFFFFF"/>
            <w:noWrap/>
            <w:vAlign w:val="bottom"/>
            <w:hideMark/>
          </w:tcPr>
          <w:p w14:paraId="22B44A26"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8 465 827</w:t>
            </w:r>
          </w:p>
        </w:tc>
        <w:tc>
          <w:tcPr>
            <w:tcW w:w="992" w:type="dxa"/>
            <w:tcBorders>
              <w:top w:val="nil"/>
              <w:left w:val="nil"/>
              <w:bottom w:val="single" w:sz="4" w:space="0" w:color="auto"/>
              <w:right w:val="single" w:sz="4" w:space="0" w:color="auto"/>
            </w:tcBorders>
            <w:shd w:val="clear" w:color="000000" w:fill="FFFFFF"/>
            <w:noWrap/>
            <w:vAlign w:val="bottom"/>
            <w:hideMark/>
          </w:tcPr>
          <w:p w14:paraId="798D4B4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352 743</w:t>
            </w:r>
          </w:p>
        </w:tc>
        <w:tc>
          <w:tcPr>
            <w:tcW w:w="709" w:type="dxa"/>
            <w:tcBorders>
              <w:top w:val="nil"/>
              <w:left w:val="nil"/>
              <w:bottom w:val="single" w:sz="4" w:space="0" w:color="auto"/>
              <w:right w:val="single" w:sz="4" w:space="0" w:color="auto"/>
            </w:tcBorders>
            <w:shd w:val="clear" w:color="000000" w:fill="BFBFBF"/>
            <w:noWrap/>
            <w:vAlign w:val="bottom"/>
            <w:hideMark/>
          </w:tcPr>
          <w:p w14:paraId="3C8CBFF9"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EAD98A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64C75A9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EEC791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0EDBCA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B6AF19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0C3EE8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7A35AE2"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0E26AD7"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92992A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AEC9EC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429457B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FF6DBE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C5E27FF"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5865E4" w:rsidRPr="00C334AB" w14:paraId="30810B99" w14:textId="77777777" w:rsidTr="005865E4">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70584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N</w:t>
            </w:r>
          </w:p>
        </w:tc>
        <w:tc>
          <w:tcPr>
            <w:tcW w:w="709" w:type="dxa"/>
            <w:tcBorders>
              <w:top w:val="nil"/>
              <w:left w:val="nil"/>
              <w:bottom w:val="single" w:sz="4" w:space="0" w:color="auto"/>
              <w:right w:val="single" w:sz="4" w:space="0" w:color="auto"/>
            </w:tcBorders>
            <w:shd w:val="clear" w:color="auto" w:fill="auto"/>
            <w:noWrap/>
            <w:vAlign w:val="bottom"/>
            <w:hideMark/>
          </w:tcPr>
          <w:p w14:paraId="6DF68290"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R0250</w:t>
            </w:r>
          </w:p>
        </w:tc>
        <w:tc>
          <w:tcPr>
            <w:tcW w:w="992" w:type="dxa"/>
            <w:tcBorders>
              <w:top w:val="nil"/>
              <w:left w:val="nil"/>
              <w:bottom w:val="single" w:sz="4" w:space="0" w:color="auto"/>
              <w:right w:val="single" w:sz="4" w:space="0" w:color="auto"/>
            </w:tcBorders>
            <w:shd w:val="clear" w:color="000000" w:fill="FFFFFF"/>
            <w:noWrap/>
            <w:vAlign w:val="bottom"/>
            <w:hideMark/>
          </w:tcPr>
          <w:p w14:paraId="24FBBD0F"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531 040</w:t>
            </w:r>
          </w:p>
        </w:tc>
        <w:tc>
          <w:tcPr>
            <w:tcW w:w="992" w:type="dxa"/>
            <w:tcBorders>
              <w:top w:val="nil"/>
              <w:left w:val="nil"/>
              <w:bottom w:val="single" w:sz="4" w:space="0" w:color="auto"/>
              <w:right w:val="single" w:sz="4" w:space="0" w:color="auto"/>
            </w:tcBorders>
            <w:shd w:val="clear" w:color="000000" w:fill="BFBFBF"/>
            <w:noWrap/>
            <w:vAlign w:val="bottom"/>
            <w:hideMark/>
          </w:tcPr>
          <w:p w14:paraId="6890ADE8" w14:textId="77777777" w:rsidR="00C334AB" w:rsidRPr="00C334AB" w:rsidRDefault="00C334AB" w:rsidP="00C334AB">
            <w:pPr>
              <w:spacing w:after="0" w:line="240" w:lineRule="auto"/>
              <w:jc w:val="center"/>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16C85B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0B5338B8"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12B39FE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009DEC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5B314F5"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237F776"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81D3864"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4093BF3"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14DE180"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3D0A7A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6BD1F7E"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16" w:type="dxa"/>
            <w:gridSpan w:val="2"/>
            <w:tcBorders>
              <w:top w:val="nil"/>
              <w:left w:val="nil"/>
              <w:bottom w:val="single" w:sz="4" w:space="0" w:color="auto"/>
              <w:right w:val="single" w:sz="4" w:space="0" w:color="auto"/>
            </w:tcBorders>
            <w:shd w:val="clear" w:color="000000" w:fill="BFBFBF"/>
            <w:noWrap/>
            <w:vAlign w:val="bottom"/>
            <w:hideMark/>
          </w:tcPr>
          <w:p w14:paraId="106DEC7C"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6415FE01"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3ABE459B" w14:textId="77777777" w:rsidR="00C334AB" w:rsidRPr="00C334AB" w:rsidRDefault="00C334AB" w:rsidP="00C334AB">
            <w:pPr>
              <w:spacing w:after="0" w:line="240" w:lineRule="auto"/>
              <w:rPr>
                <w:rFonts w:ascii="Calibri" w:eastAsia="Times New Roman" w:hAnsi="Calibri" w:cs="Calibri"/>
                <w:color w:val="000000"/>
                <w:sz w:val="16"/>
                <w:szCs w:val="16"/>
                <w:lang w:eastAsia="cs-CZ"/>
              </w:rPr>
            </w:pPr>
            <w:r w:rsidRPr="00C334AB">
              <w:rPr>
                <w:rFonts w:ascii="Calibri" w:eastAsia="Times New Roman" w:hAnsi="Calibri" w:cs="Calibri"/>
                <w:color w:val="000000"/>
                <w:sz w:val="16"/>
                <w:szCs w:val="16"/>
                <w:lang w:eastAsia="cs-CZ"/>
              </w:rPr>
              <w:t> </w:t>
            </w:r>
          </w:p>
        </w:tc>
      </w:tr>
      <w:tr w:rsidR="00092A69" w:rsidRPr="00092A69" w14:paraId="53476003" w14:textId="77777777" w:rsidTr="001D69FF">
        <w:tc>
          <w:tcPr>
            <w:tcW w:w="12474" w:type="dxa"/>
            <w:gridSpan w:val="14"/>
            <w:tcBorders>
              <w:top w:val="nil"/>
              <w:left w:val="nil"/>
              <w:bottom w:val="nil"/>
              <w:right w:val="nil"/>
            </w:tcBorders>
            <w:shd w:val="clear" w:color="auto" w:fill="auto"/>
            <w:noWrap/>
            <w:vAlign w:val="bottom"/>
            <w:hideMark/>
          </w:tcPr>
          <w:p w14:paraId="0D516C07" w14:textId="77777777" w:rsidR="00C164E7" w:rsidRDefault="00C164E7" w:rsidP="00092A69">
            <w:pPr>
              <w:spacing w:after="0" w:line="240" w:lineRule="auto"/>
              <w:rPr>
                <w:rFonts w:ascii="Calibri" w:eastAsia="Times New Roman" w:hAnsi="Calibri" w:cs="Calibri"/>
                <w:b/>
                <w:bCs/>
                <w:color w:val="000000"/>
                <w:sz w:val="16"/>
                <w:szCs w:val="16"/>
                <w:lang w:eastAsia="cs-CZ"/>
              </w:rPr>
            </w:pPr>
          </w:p>
          <w:p w14:paraId="2E520E23" w14:textId="41B30EF4" w:rsidR="00092A69" w:rsidRPr="00092A69" w:rsidRDefault="00092A69" w:rsidP="00092A69">
            <w:pPr>
              <w:spacing w:after="0" w:line="240" w:lineRule="auto"/>
              <w:rPr>
                <w:rFonts w:ascii="Calibri" w:eastAsia="Times New Roman" w:hAnsi="Calibri" w:cs="Calibri"/>
                <w:b/>
                <w:bCs/>
                <w:color w:val="000000"/>
                <w:sz w:val="16"/>
                <w:szCs w:val="16"/>
                <w:lang w:eastAsia="cs-CZ"/>
              </w:rPr>
            </w:pPr>
            <w:r w:rsidRPr="00092A69">
              <w:rPr>
                <w:rFonts w:ascii="Calibri" w:eastAsia="Times New Roman" w:hAnsi="Calibri" w:cs="Calibri"/>
                <w:b/>
                <w:bCs/>
                <w:color w:val="000000"/>
                <w:sz w:val="16"/>
                <w:szCs w:val="16"/>
                <w:lang w:eastAsia="cs-CZ"/>
              </w:rPr>
              <w:t xml:space="preserve">S.19.01.01.03 - </w:t>
            </w:r>
            <w:proofErr w:type="gramStart"/>
            <w:r w:rsidRPr="00092A69">
              <w:rPr>
                <w:rFonts w:ascii="Calibri" w:eastAsia="Times New Roman" w:hAnsi="Calibri" w:cs="Calibri"/>
                <w:b/>
                <w:bCs/>
                <w:color w:val="000000"/>
                <w:sz w:val="16"/>
                <w:szCs w:val="16"/>
                <w:lang w:eastAsia="cs-CZ"/>
              </w:rPr>
              <w:t>S.19.01.01.03  Hrubý</w:t>
            </w:r>
            <w:proofErr w:type="gramEnd"/>
            <w:r w:rsidRPr="00092A69">
              <w:rPr>
                <w:rFonts w:ascii="Calibri" w:eastAsia="Times New Roman" w:hAnsi="Calibri" w:cs="Calibri"/>
                <w:b/>
                <w:bCs/>
                <w:color w:val="000000"/>
                <w:sz w:val="16"/>
                <w:szCs w:val="16"/>
                <w:lang w:eastAsia="cs-CZ"/>
              </w:rPr>
              <w:t xml:space="preserve"> nediskontovaný nejlepší odhad rezerv na nároky - Rok vývoje (absolutní částka)</w:t>
            </w:r>
          </w:p>
        </w:tc>
        <w:tc>
          <w:tcPr>
            <w:tcW w:w="851" w:type="dxa"/>
            <w:tcBorders>
              <w:top w:val="nil"/>
              <w:left w:val="nil"/>
              <w:bottom w:val="nil"/>
              <w:right w:val="nil"/>
            </w:tcBorders>
            <w:shd w:val="clear" w:color="auto" w:fill="auto"/>
            <w:noWrap/>
            <w:vAlign w:val="bottom"/>
            <w:hideMark/>
          </w:tcPr>
          <w:p w14:paraId="1CF51BC0" w14:textId="77777777" w:rsidR="00092A69" w:rsidRPr="00092A69" w:rsidRDefault="00092A69" w:rsidP="00092A69">
            <w:pPr>
              <w:spacing w:after="0" w:line="240" w:lineRule="auto"/>
              <w:rPr>
                <w:rFonts w:ascii="Calibri" w:eastAsia="Times New Roman" w:hAnsi="Calibri" w:cs="Calibri"/>
                <w:b/>
                <w:bCs/>
                <w:color w:val="000000"/>
                <w:sz w:val="16"/>
                <w:szCs w:val="16"/>
                <w:lang w:eastAsia="cs-CZ"/>
              </w:rPr>
            </w:pPr>
          </w:p>
        </w:tc>
        <w:tc>
          <w:tcPr>
            <w:tcW w:w="676" w:type="dxa"/>
            <w:tcBorders>
              <w:top w:val="nil"/>
              <w:left w:val="nil"/>
              <w:bottom w:val="nil"/>
              <w:right w:val="nil"/>
            </w:tcBorders>
            <w:shd w:val="clear" w:color="auto" w:fill="auto"/>
            <w:noWrap/>
            <w:vAlign w:val="bottom"/>
            <w:hideMark/>
          </w:tcPr>
          <w:p w14:paraId="02364FB9"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550" w:type="dxa"/>
            <w:gridSpan w:val="2"/>
            <w:tcBorders>
              <w:top w:val="nil"/>
              <w:left w:val="nil"/>
              <w:bottom w:val="nil"/>
              <w:right w:val="nil"/>
            </w:tcBorders>
            <w:shd w:val="clear" w:color="auto" w:fill="auto"/>
            <w:noWrap/>
            <w:vAlign w:val="bottom"/>
            <w:hideMark/>
          </w:tcPr>
          <w:p w14:paraId="789D1DCE"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3E8D717B"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r>
      <w:tr w:rsidR="00513938" w:rsidRPr="00092A69" w14:paraId="4473B8CB" w14:textId="77777777" w:rsidTr="001D69FF">
        <w:tc>
          <w:tcPr>
            <w:tcW w:w="1985" w:type="dxa"/>
            <w:tcBorders>
              <w:top w:val="nil"/>
              <w:left w:val="nil"/>
              <w:bottom w:val="nil"/>
              <w:right w:val="nil"/>
            </w:tcBorders>
            <w:shd w:val="clear" w:color="auto" w:fill="auto"/>
            <w:noWrap/>
            <w:vAlign w:val="bottom"/>
            <w:hideMark/>
          </w:tcPr>
          <w:p w14:paraId="743B353E"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1E7689C8"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449073AE"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74B2B2A0"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067B8ADB"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4C8AA83C"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8" w:type="dxa"/>
            <w:tcBorders>
              <w:top w:val="nil"/>
              <w:left w:val="nil"/>
              <w:bottom w:val="nil"/>
              <w:right w:val="nil"/>
            </w:tcBorders>
            <w:shd w:val="clear" w:color="auto" w:fill="auto"/>
            <w:noWrap/>
            <w:vAlign w:val="bottom"/>
            <w:hideMark/>
          </w:tcPr>
          <w:p w14:paraId="7E64D3DE"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7D20F630"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74918A18"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0E6BA1E6"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522EACAD"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63A3448F"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098A0861"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0" w:type="dxa"/>
            <w:tcBorders>
              <w:top w:val="nil"/>
              <w:left w:val="nil"/>
              <w:bottom w:val="nil"/>
              <w:right w:val="nil"/>
            </w:tcBorders>
            <w:shd w:val="clear" w:color="auto" w:fill="auto"/>
            <w:noWrap/>
            <w:vAlign w:val="bottom"/>
            <w:hideMark/>
          </w:tcPr>
          <w:p w14:paraId="0F703055"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851" w:type="dxa"/>
            <w:tcBorders>
              <w:top w:val="nil"/>
              <w:left w:val="nil"/>
              <w:bottom w:val="nil"/>
              <w:right w:val="nil"/>
            </w:tcBorders>
            <w:shd w:val="clear" w:color="auto" w:fill="auto"/>
            <w:noWrap/>
            <w:vAlign w:val="bottom"/>
            <w:hideMark/>
          </w:tcPr>
          <w:p w14:paraId="5DFADE1B"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676" w:type="dxa"/>
            <w:tcBorders>
              <w:top w:val="nil"/>
              <w:left w:val="nil"/>
              <w:bottom w:val="nil"/>
              <w:right w:val="nil"/>
            </w:tcBorders>
            <w:shd w:val="clear" w:color="auto" w:fill="auto"/>
            <w:noWrap/>
            <w:vAlign w:val="bottom"/>
            <w:hideMark/>
          </w:tcPr>
          <w:p w14:paraId="7C27989B"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550" w:type="dxa"/>
            <w:gridSpan w:val="2"/>
            <w:tcBorders>
              <w:top w:val="nil"/>
              <w:left w:val="nil"/>
              <w:bottom w:val="nil"/>
              <w:right w:val="nil"/>
            </w:tcBorders>
            <w:shd w:val="clear" w:color="auto" w:fill="auto"/>
            <w:noWrap/>
            <w:vAlign w:val="bottom"/>
            <w:hideMark/>
          </w:tcPr>
          <w:p w14:paraId="16167A9B"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58" w:type="dxa"/>
            <w:tcBorders>
              <w:top w:val="nil"/>
              <w:left w:val="nil"/>
              <w:bottom w:val="nil"/>
              <w:right w:val="nil"/>
            </w:tcBorders>
            <w:shd w:val="clear" w:color="auto" w:fill="auto"/>
            <w:noWrap/>
            <w:vAlign w:val="bottom"/>
            <w:hideMark/>
          </w:tcPr>
          <w:p w14:paraId="776A4F5E"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r>
      <w:tr w:rsidR="00513938" w:rsidRPr="00092A69" w14:paraId="4FBB2F4F" w14:textId="77777777" w:rsidTr="001D69FF">
        <w:tc>
          <w:tcPr>
            <w:tcW w:w="1985" w:type="dxa"/>
            <w:tcBorders>
              <w:top w:val="nil"/>
              <w:left w:val="nil"/>
              <w:bottom w:val="nil"/>
              <w:right w:val="nil"/>
            </w:tcBorders>
            <w:shd w:val="clear" w:color="auto" w:fill="auto"/>
            <w:noWrap/>
            <w:vAlign w:val="bottom"/>
            <w:hideMark/>
          </w:tcPr>
          <w:p w14:paraId="2685101A"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59C76C71"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8115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EDD9B0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9161B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5F75B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333B01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F74E8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8D5C2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15115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473A4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A92AEE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4D6F5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B66EF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CC09A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12</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109BBC5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13</w:t>
            </w:r>
          </w:p>
        </w:tc>
        <w:tc>
          <w:tcPr>
            <w:tcW w:w="5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95199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14</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10029FD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15 a více</w:t>
            </w:r>
          </w:p>
        </w:tc>
      </w:tr>
      <w:tr w:rsidR="00513938" w:rsidRPr="00092A69" w14:paraId="17E460E3" w14:textId="77777777" w:rsidTr="001D69FF">
        <w:tc>
          <w:tcPr>
            <w:tcW w:w="1985" w:type="dxa"/>
            <w:tcBorders>
              <w:top w:val="nil"/>
              <w:left w:val="nil"/>
              <w:bottom w:val="nil"/>
              <w:right w:val="nil"/>
            </w:tcBorders>
            <w:shd w:val="clear" w:color="auto" w:fill="auto"/>
            <w:noWrap/>
            <w:vAlign w:val="bottom"/>
            <w:hideMark/>
          </w:tcPr>
          <w:p w14:paraId="5B12BD9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p>
        </w:tc>
        <w:tc>
          <w:tcPr>
            <w:tcW w:w="709" w:type="dxa"/>
            <w:tcBorders>
              <w:top w:val="nil"/>
              <w:left w:val="nil"/>
              <w:bottom w:val="nil"/>
              <w:right w:val="nil"/>
            </w:tcBorders>
            <w:shd w:val="clear" w:color="auto" w:fill="auto"/>
            <w:noWrap/>
            <w:vAlign w:val="bottom"/>
            <w:hideMark/>
          </w:tcPr>
          <w:p w14:paraId="79014105" w14:textId="77777777" w:rsidR="00092A69" w:rsidRPr="00092A69" w:rsidRDefault="00092A69" w:rsidP="00092A69">
            <w:pPr>
              <w:spacing w:after="0" w:line="240" w:lineRule="auto"/>
              <w:rPr>
                <w:rFonts w:ascii="Times New Roman" w:eastAsia="Times New Roman" w:hAnsi="Times New Roman" w:cs="Times New Roman"/>
                <w:sz w:val="16"/>
                <w:szCs w:val="16"/>
                <w:lang w:eastAsia="cs-CZ"/>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2848D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C0200</w:t>
            </w:r>
          </w:p>
        </w:tc>
        <w:tc>
          <w:tcPr>
            <w:tcW w:w="992" w:type="dxa"/>
            <w:tcBorders>
              <w:top w:val="nil"/>
              <w:left w:val="nil"/>
              <w:bottom w:val="single" w:sz="4" w:space="0" w:color="auto"/>
              <w:right w:val="single" w:sz="4" w:space="0" w:color="auto"/>
            </w:tcBorders>
            <w:shd w:val="clear" w:color="auto" w:fill="auto"/>
            <w:noWrap/>
            <w:vAlign w:val="bottom"/>
            <w:hideMark/>
          </w:tcPr>
          <w:p w14:paraId="64801D6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C0210</w:t>
            </w:r>
          </w:p>
        </w:tc>
        <w:tc>
          <w:tcPr>
            <w:tcW w:w="709" w:type="dxa"/>
            <w:tcBorders>
              <w:top w:val="nil"/>
              <w:left w:val="nil"/>
              <w:bottom w:val="single" w:sz="4" w:space="0" w:color="auto"/>
              <w:right w:val="single" w:sz="4" w:space="0" w:color="auto"/>
            </w:tcBorders>
            <w:shd w:val="clear" w:color="auto" w:fill="auto"/>
            <w:noWrap/>
            <w:vAlign w:val="bottom"/>
            <w:hideMark/>
          </w:tcPr>
          <w:p w14:paraId="21F5C1F4"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C0220</w:t>
            </w:r>
          </w:p>
        </w:tc>
        <w:tc>
          <w:tcPr>
            <w:tcW w:w="709" w:type="dxa"/>
            <w:tcBorders>
              <w:top w:val="nil"/>
              <w:left w:val="nil"/>
              <w:bottom w:val="single" w:sz="4" w:space="0" w:color="auto"/>
              <w:right w:val="single" w:sz="4" w:space="0" w:color="auto"/>
            </w:tcBorders>
            <w:shd w:val="clear" w:color="auto" w:fill="auto"/>
            <w:noWrap/>
            <w:vAlign w:val="bottom"/>
            <w:hideMark/>
          </w:tcPr>
          <w:p w14:paraId="6C1E81E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C0230</w:t>
            </w:r>
          </w:p>
        </w:tc>
        <w:tc>
          <w:tcPr>
            <w:tcW w:w="708" w:type="dxa"/>
            <w:tcBorders>
              <w:top w:val="nil"/>
              <w:left w:val="nil"/>
              <w:bottom w:val="single" w:sz="4" w:space="0" w:color="auto"/>
              <w:right w:val="single" w:sz="4" w:space="0" w:color="auto"/>
            </w:tcBorders>
            <w:shd w:val="clear" w:color="auto" w:fill="auto"/>
            <w:noWrap/>
            <w:vAlign w:val="bottom"/>
            <w:hideMark/>
          </w:tcPr>
          <w:p w14:paraId="696B94EC"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C0240</w:t>
            </w:r>
          </w:p>
        </w:tc>
        <w:tc>
          <w:tcPr>
            <w:tcW w:w="709" w:type="dxa"/>
            <w:tcBorders>
              <w:top w:val="nil"/>
              <w:left w:val="nil"/>
              <w:bottom w:val="single" w:sz="4" w:space="0" w:color="auto"/>
              <w:right w:val="single" w:sz="4" w:space="0" w:color="auto"/>
            </w:tcBorders>
            <w:shd w:val="clear" w:color="auto" w:fill="auto"/>
            <w:noWrap/>
            <w:vAlign w:val="bottom"/>
            <w:hideMark/>
          </w:tcPr>
          <w:p w14:paraId="5F3D1F8A"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C0250</w:t>
            </w:r>
          </w:p>
        </w:tc>
        <w:tc>
          <w:tcPr>
            <w:tcW w:w="851" w:type="dxa"/>
            <w:tcBorders>
              <w:top w:val="nil"/>
              <w:left w:val="nil"/>
              <w:bottom w:val="single" w:sz="4" w:space="0" w:color="auto"/>
              <w:right w:val="single" w:sz="4" w:space="0" w:color="auto"/>
            </w:tcBorders>
            <w:shd w:val="clear" w:color="auto" w:fill="auto"/>
            <w:noWrap/>
            <w:vAlign w:val="bottom"/>
            <w:hideMark/>
          </w:tcPr>
          <w:p w14:paraId="46EFC9F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C0260</w:t>
            </w:r>
          </w:p>
        </w:tc>
        <w:tc>
          <w:tcPr>
            <w:tcW w:w="850" w:type="dxa"/>
            <w:tcBorders>
              <w:top w:val="nil"/>
              <w:left w:val="nil"/>
              <w:bottom w:val="single" w:sz="4" w:space="0" w:color="auto"/>
              <w:right w:val="single" w:sz="4" w:space="0" w:color="auto"/>
            </w:tcBorders>
            <w:shd w:val="clear" w:color="auto" w:fill="auto"/>
            <w:noWrap/>
            <w:vAlign w:val="bottom"/>
            <w:hideMark/>
          </w:tcPr>
          <w:p w14:paraId="782525C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C0270</w:t>
            </w:r>
          </w:p>
        </w:tc>
        <w:tc>
          <w:tcPr>
            <w:tcW w:w="709" w:type="dxa"/>
            <w:tcBorders>
              <w:top w:val="nil"/>
              <w:left w:val="nil"/>
              <w:bottom w:val="single" w:sz="4" w:space="0" w:color="auto"/>
              <w:right w:val="single" w:sz="4" w:space="0" w:color="auto"/>
            </w:tcBorders>
            <w:shd w:val="clear" w:color="auto" w:fill="auto"/>
            <w:noWrap/>
            <w:vAlign w:val="bottom"/>
            <w:hideMark/>
          </w:tcPr>
          <w:p w14:paraId="44285EC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C0280</w:t>
            </w:r>
          </w:p>
        </w:tc>
        <w:tc>
          <w:tcPr>
            <w:tcW w:w="850" w:type="dxa"/>
            <w:tcBorders>
              <w:top w:val="nil"/>
              <w:left w:val="nil"/>
              <w:bottom w:val="single" w:sz="4" w:space="0" w:color="auto"/>
              <w:right w:val="single" w:sz="4" w:space="0" w:color="auto"/>
            </w:tcBorders>
            <w:shd w:val="clear" w:color="auto" w:fill="auto"/>
            <w:noWrap/>
            <w:vAlign w:val="bottom"/>
            <w:hideMark/>
          </w:tcPr>
          <w:p w14:paraId="5BC9A7D3"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C0290</w:t>
            </w:r>
          </w:p>
        </w:tc>
        <w:tc>
          <w:tcPr>
            <w:tcW w:w="851" w:type="dxa"/>
            <w:tcBorders>
              <w:top w:val="nil"/>
              <w:left w:val="nil"/>
              <w:bottom w:val="single" w:sz="4" w:space="0" w:color="auto"/>
              <w:right w:val="single" w:sz="4" w:space="0" w:color="auto"/>
            </w:tcBorders>
            <w:shd w:val="clear" w:color="auto" w:fill="auto"/>
            <w:noWrap/>
            <w:vAlign w:val="bottom"/>
            <w:hideMark/>
          </w:tcPr>
          <w:p w14:paraId="6238432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C0300</w:t>
            </w:r>
          </w:p>
        </w:tc>
        <w:tc>
          <w:tcPr>
            <w:tcW w:w="850" w:type="dxa"/>
            <w:tcBorders>
              <w:top w:val="nil"/>
              <w:left w:val="nil"/>
              <w:bottom w:val="single" w:sz="4" w:space="0" w:color="auto"/>
              <w:right w:val="single" w:sz="4" w:space="0" w:color="auto"/>
            </w:tcBorders>
            <w:shd w:val="clear" w:color="auto" w:fill="auto"/>
            <w:noWrap/>
            <w:vAlign w:val="bottom"/>
            <w:hideMark/>
          </w:tcPr>
          <w:p w14:paraId="237653BE"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C0310</w:t>
            </w:r>
          </w:p>
        </w:tc>
        <w:tc>
          <w:tcPr>
            <w:tcW w:w="851" w:type="dxa"/>
            <w:tcBorders>
              <w:top w:val="nil"/>
              <w:left w:val="nil"/>
              <w:bottom w:val="single" w:sz="4" w:space="0" w:color="auto"/>
              <w:right w:val="single" w:sz="4" w:space="0" w:color="auto"/>
            </w:tcBorders>
            <w:shd w:val="clear" w:color="auto" w:fill="auto"/>
            <w:noWrap/>
            <w:vAlign w:val="bottom"/>
            <w:hideMark/>
          </w:tcPr>
          <w:p w14:paraId="0D77688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C0320</w:t>
            </w:r>
          </w:p>
        </w:tc>
        <w:tc>
          <w:tcPr>
            <w:tcW w:w="676" w:type="dxa"/>
            <w:tcBorders>
              <w:top w:val="nil"/>
              <w:left w:val="nil"/>
              <w:bottom w:val="single" w:sz="4" w:space="0" w:color="auto"/>
              <w:right w:val="single" w:sz="4" w:space="0" w:color="auto"/>
            </w:tcBorders>
            <w:shd w:val="clear" w:color="auto" w:fill="auto"/>
            <w:noWrap/>
            <w:vAlign w:val="bottom"/>
            <w:hideMark/>
          </w:tcPr>
          <w:p w14:paraId="38F2E2D5"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C0330</w:t>
            </w:r>
          </w:p>
        </w:tc>
        <w:tc>
          <w:tcPr>
            <w:tcW w:w="550" w:type="dxa"/>
            <w:gridSpan w:val="2"/>
            <w:tcBorders>
              <w:top w:val="nil"/>
              <w:left w:val="nil"/>
              <w:bottom w:val="single" w:sz="4" w:space="0" w:color="auto"/>
              <w:right w:val="single" w:sz="4" w:space="0" w:color="auto"/>
            </w:tcBorders>
            <w:shd w:val="clear" w:color="auto" w:fill="auto"/>
            <w:noWrap/>
            <w:vAlign w:val="bottom"/>
            <w:hideMark/>
          </w:tcPr>
          <w:p w14:paraId="58F4D7A6"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C0340</w:t>
            </w:r>
          </w:p>
        </w:tc>
        <w:tc>
          <w:tcPr>
            <w:tcW w:w="758" w:type="dxa"/>
            <w:tcBorders>
              <w:top w:val="nil"/>
              <w:left w:val="nil"/>
              <w:bottom w:val="single" w:sz="4" w:space="0" w:color="auto"/>
              <w:right w:val="single" w:sz="4" w:space="0" w:color="auto"/>
            </w:tcBorders>
            <w:shd w:val="clear" w:color="auto" w:fill="auto"/>
            <w:noWrap/>
            <w:vAlign w:val="bottom"/>
            <w:hideMark/>
          </w:tcPr>
          <w:p w14:paraId="4401E614"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C0350</w:t>
            </w:r>
          </w:p>
        </w:tc>
      </w:tr>
      <w:tr w:rsidR="001D69FF" w:rsidRPr="00C164E7" w14:paraId="3FC1B1E7" w14:textId="77777777" w:rsidTr="001D69FF">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5B33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Předchozí</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991B25"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R0100</w:t>
            </w:r>
          </w:p>
        </w:tc>
        <w:tc>
          <w:tcPr>
            <w:tcW w:w="992" w:type="dxa"/>
            <w:tcBorders>
              <w:top w:val="nil"/>
              <w:left w:val="nil"/>
              <w:bottom w:val="single" w:sz="4" w:space="0" w:color="auto"/>
              <w:right w:val="single" w:sz="4" w:space="0" w:color="auto"/>
            </w:tcBorders>
            <w:shd w:val="clear" w:color="000000" w:fill="BFBFBF"/>
            <w:noWrap/>
            <w:vAlign w:val="bottom"/>
            <w:hideMark/>
          </w:tcPr>
          <w:p w14:paraId="6BB3564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5A02853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DBC6BB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07D06D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477BA11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CE00AC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A0983A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A0D5D8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DCA3AD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241384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B18EFA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6ADECA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95C6B3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79898DF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2D193CE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FFFFFF"/>
            <w:noWrap/>
            <w:vAlign w:val="bottom"/>
            <w:hideMark/>
          </w:tcPr>
          <w:p w14:paraId="3C41B4C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0C337370"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4D2C2D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N–14</w:t>
            </w:r>
          </w:p>
        </w:tc>
        <w:tc>
          <w:tcPr>
            <w:tcW w:w="709" w:type="dxa"/>
            <w:tcBorders>
              <w:top w:val="nil"/>
              <w:left w:val="nil"/>
              <w:bottom w:val="single" w:sz="4" w:space="0" w:color="auto"/>
              <w:right w:val="single" w:sz="4" w:space="0" w:color="auto"/>
            </w:tcBorders>
            <w:shd w:val="clear" w:color="auto" w:fill="auto"/>
            <w:noWrap/>
            <w:vAlign w:val="bottom"/>
            <w:hideMark/>
          </w:tcPr>
          <w:p w14:paraId="24885B83"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R0110</w:t>
            </w:r>
          </w:p>
        </w:tc>
        <w:tc>
          <w:tcPr>
            <w:tcW w:w="992" w:type="dxa"/>
            <w:tcBorders>
              <w:top w:val="nil"/>
              <w:left w:val="nil"/>
              <w:bottom w:val="single" w:sz="4" w:space="0" w:color="auto"/>
              <w:right w:val="single" w:sz="4" w:space="0" w:color="auto"/>
            </w:tcBorders>
            <w:shd w:val="clear" w:color="000000" w:fill="FFFFFF"/>
            <w:noWrap/>
            <w:vAlign w:val="bottom"/>
            <w:hideMark/>
          </w:tcPr>
          <w:p w14:paraId="1E2B820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6287E1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A7B1F7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073C90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34F45B2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D5A9F5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89EDBB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15ED30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DD31A3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6A2C72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DBE8B6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1F74B7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7169B3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FFFFFF"/>
            <w:noWrap/>
            <w:vAlign w:val="bottom"/>
            <w:hideMark/>
          </w:tcPr>
          <w:p w14:paraId="594CC93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FFFFFF"/>
            <w:noWrap/>
            <w:vAlign w:val="bottom"/>
            <w:hideMark/>
          </w:tcPr>
          <w:p w14:paraId="71D147E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04C171B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7F5A85D8"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CE044E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N–13</w:t>
            </w:r>
          </w:p>
        </w:tc>
        <w:tc>
          <w:tcPr>
            <w:tcW w:w="709" w:type="dxa"/>
            <w:tcBorders>
              <w:top w:val="nil"/>
              <w:left w:val="nil"/>
              <w:bottom w:val="single" w:sz="4" w:space="0" w:color="auto"/>
              <w:right w:val="single" w:sz="4" w:space="0" w:color="auto"/>
            </w:tcBorders>
            <w:shd w:val="clear" w:color="auto" w:fill="auto"/>
            <w:noWrap/>
            <w:vAlign w:val="bottom"/>
            <w:hideMark/>
          </w:tcPr>
          <w:p w14:paraId="32BF90F5"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R0120</w:t>
            </w:r>
          </w:p>
        </w:tc>
        <w:tc>
          <w:tcPr>
            <w:tcW w:w="992" w:type="dxa"/>
            <w:tcBorders>
              <w:top w:val="nil"/>
              <w:left w:val="nil"/>
              <w:bottom w:val="single" w:sz="4" w:space="0" w:color="auto"/>
              <w:right w:val="single" w:sz="4" w:space="0" w:color="auto"/>
            </w:tcBorders>
            <w:shd w:val="clear" w:color="000000" w:fill="FFFFFF"/>
            <w:noWrap/>
            <w:vAlign w:val="bottom"/>
            <w:hideMark/>
          </w:tcPr>
          <w:p w14:paraId="7A28CE5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80901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124638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C0BDD9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1E4164C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DC48AE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8117A8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195CF1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B3603C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23C27D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8D1133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7DAC9A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F75ABC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FFFFFF"/>
            <w:noWrap/>
            <w:vAlign w:val="bottom"/>
            <w:hideMark/>
          </w:tcPr>
          <w:p w14:paraId="204BFB6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1DF7D5B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7CF862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78C5BF2C"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ECD9D1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N–12</w:t>
            </w:r>
          </w:p>
        </w:tc>
        <w:tc>
          <w:tcPr>
            <w:tcW w:w="709" w:type="dxa"/>
            <w:tcBorders>
              <w:top w:val="nil"/>
              <w:left w:val="nil"/>
              <w:bottom w:val="single" w:sz="4" w:space="0" w:color="auto"/>
              <w:right w:val="single" w:sz="4" w:space="0" w:color="auto"/>
            </w:tcBorders>
            <w:shd w:val="clear" w:color="auto" w:fill="auto"/>
            <w:noWrap/>
            <w:vAlign w:val="bottom"/>
            <w:hideMark/>
          </w:tcPr>
          <w:p w14:paraId="41104B4E"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R0130</w:t>
            </w:r>
          </w:p>
        </w:tc>
        <w:tc>
          <w:tcPr>
            <w:tcW w:w="992" w:type="dxa"/>
            <w:tcBorders>
              <w:top w:val="nil"/>
              <w:left w:val="nil"/>
              <w:bottom w:val="single" w:sz="4" w:space="0" w:color="auto"/>
              <w:right w:val="single" w:sz="4" w:space="0" w:color="auto"/>
            </w:tcBorders>
            <w:shd w:val="clear" w:color="000000" w:fill="FFFFFF"/>
            <w:noWrap/>
            <w:vAlign w:val="bottom"/>
            <w:hideMark/>
          </w:tcPr>
          <w:p w14:paraId="2925C1E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88CC19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AEA9AD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541EDC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D4D0CA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FEAE5B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17C6EA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DAE0B8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8FE2F5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A6ACD8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E5BCBB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2A25E1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000D1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5F04084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38BF38A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1AEC5D5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3CB98350"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54402C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N–11</w:t>
            </w:r>
          </w:p>
        </w:tc>
        <w:tc>
          <w:tcPr>
            <w:tcW w:w="709" w:type="dxa"/>
            <w:tcBorders>
              <w:top w:val="nil"/>
              <w:left w:val="nil"/>
              <w:bottom w:val="single" w:sz="4" w:space="0" w:color="auto"/>
              <w:right w:val="single" w:sz="4" w:space="0" w:color="auto"/>
            </w:tcBorders>
            <w:shd w:val="clear" w:color="auto" w:fill="auto"/>
            <w:noWrap/>
            <w:vAlign w:val="bottom"/>
            <w:hideMark/>
          </w:tcPr>
          <w:p w14:paraId="2D2A850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R0140</w:t>
            </w:r>
          </w:p>
        </w:tc>
        <w:tc>
          <w:tcPr>
            <w:tcW w:w="992" w:type="dxa"/>
            <w:tcBorders>
              <w:top w:val="nil"/>
              <w:left w:val="nil"/>
              <w:bottom w:val="single" w:sz="4" w:space="0" w:color="auto"/>
              <w:right w:val="single" w:sz="4" w:space="0" w:color="auto"/>
            </w:tcBorders>
            <w:shd w:val="clear" w:color="000000" w:fill="FFFFFF"/>
            <w:noWrap/>
            <w:vAlign w:val="bottom"/>
            <w:hideMark/>
          </w:tcPr>
          <w:p w14:paraId="533EFC8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26A480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259A92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4BB25F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0AAD5F8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836D19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12E73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23C272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8B5FF2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90A065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0A1C73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963744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76F7FB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4B8429E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2847B41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61D4D34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50C7ED33"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3EF62F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N–10</w:t>
            </w:r>
          </w:p>
        </w:tc>
        <w:tc>
          <w:tcPr>
            <w:tcW w:w="709" w:type="dxa"/>
            <w:tcBorders>
              <w:top w:val="nil"/>
              <w:left w:val="nil"/>
              <w:bottom w:val="single" w:sz="4" w:space="0" w:color="auto"/>
              <w:right w:val="single" w:sz="4" w:space="0" w:color="auto"/>
            </w:tcBorders>
            <w:shd w:val="clear" w:color="auto" w:fill="auto"/>
            <w:noWrap/>
            <w:vAlign w:val="bottom"/>
            <w:hideMark/>
          </w:tcPr>
          <w:p w14:paraId="01B45B7A"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R0150</w:t>
            </w:r>
          </w:p>
        </w:tc>
        <w:tc>
          <w:tcPr>
            <w:tcW w:w="992" w:type="dxa"/>
            <w:tcBorders>
              <w:top w:val="nil"/>
              <w:left w:val="nil"/>
              <w:bottom w:val="single" w:sz="4" w:space="0" w:color="auto"/>
              <w:right w:val="single" w:sz="4" w:space="0" w:color="auto"/>
            </w:tcBorders>
            <w:shd w:val="clear" w:color="000000" w:fill="FFFFFF"/>
            <w:noWrap/>
            <w:vAlign w:val="bottom"/>
            <w:hideMark/>
          </w:tcPr>
          <w:p w14:paraId="7F25FE3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F961B8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CAA3C7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9DF87C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6F68238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927A3C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0C393F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A102FD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A072A8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FF799D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8D6BA2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0B0689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AA8934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2027471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1DDF029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0F732E6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2CF099CE"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0E397D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N–9</w:t>
            </w:r>
          </w:p>
        </w:tc>
        <w:tc>
          <w:tcPr>
            <w:tcW w:w="709" w:type="dxa"/>
            <w:tcBorders>
              <w:top w:val="nil"/>
              <w:left w:val="nil"/>
              <w:bottom w:val="single" w:sz="4" w:space="0" w:color="auto"/>
              <w:right w:val="single" w:sz="4" w:space="0" w:color="auto"/>
            </w:tcBorders>
            <w:shd w:val="clear" w:color="auto" w:fill="auto"/>
            <w:noWrap/>
            <w:vAlign w:val="bottom"/>
            <w:hideMark/>
          </w:tcPr>
          <w:p w14:paraId="5644020B"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R0160</w:t>
            </w:r>
          </w:p>
        </w:tc>
        <w:tc>
          <w:tcPr>
            <w:tcW w:w="992" w:type="dxa"/>
            <w:tcBorders>
              <w:top w:val="nil"/>
              <w:left w:val="nil"/>
              <w:bottom w:val="single" w:sz="4" w:space="0" w:color="auto"/>
              <w:right w:val="single" w:sz="4" w:space="0" w:color="auto"/>
            </w:tcBorders>
            <w:shd w:val="clear" w:color="000000" w:fill="FFFFFF"/>
            <w:noWrap/>
            <w:vAlign w:val="bottom"/>
            <w:hideMark/>
          </w:tcPr>
          <w:p w14:paraId="0A0F470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72481A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E8EC0A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581B07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3B5BB15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7AFA7A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8BFA95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BCFD86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FAEB06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BB335D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52556B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47B991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4AE056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6312948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5AD9549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5E8EF24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152684F9"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54946C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N–8</w:t>
            </w:r>
          </w:p>
        </w:tc>
        <w:tc>
          <w:tcPr>
            <w:tcW w:w="709" w:type="dxa"/>
            <w:tcBorders>
              <w:top w:val="nil"/>
              <w:left w:val="nil"/>
              <w:bottom w:val="single" w:sz="4" w:space="0" w:color="auto"/>
              <w:right w:val="single" w:sz="4" w:space="0" w:color="auto"/>
            </w:tcBorders>
            <w:shd w:val="clear" w:color="auto" w:fill="auto"/>
            <w:noWrap/>
            <w:vAlign w:val="bottom"/>
            <w:hideMark/>
          </w:tcPr>
          <w:p w14:paraId="072D436C"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R0170</w:t>
            </w:r>
          </w:p>
        </w:tc>
        <w:tc>
          <w:tcPr>
            <w:tcW w:w="992" w:type="dxa"/>
            <w:tcBorders>
              <w:top w:val="nil"/>
              <w:left w:val="nil"/>
              <w:bottom w:val="single" w:sz="4" w:space="0" w:color="auto"/>
              <w:right w:val="single" w:sz="4" w:space="0" w:color="auto"/>
            </w:tcBorders>
            <w:shd w:val="clear" w:color="000000" w:fill="FFFFFF"/>
            <w:noWrap/>
            <w:vAlign w:val="bottom"/>
            <w:hideMark/>
          </w:tcPr>
          <w:p w14:paraId="6E8034C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775155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1BFEDF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B19DEC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A84201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9CF8A7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A00B47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81888B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041602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713385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765894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D50FE1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7310EF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6017628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7C2AF41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16E2C83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53F0939A"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C80C6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N–7</w:t>
            </w:r>
          </w:p>
        </w:tc>
        <w:tc>
          <w:tcPr>
            <w:tcW w:w="709" w:type="dxa"/>
            <w:tcBorders>
              <w:top w:val="nil"/>
              <w:left w:val="nil"/>
              <w:bottom w:val="single" w:sz="4" w:space="0" w:color="auto"/>
              <w:right w:val="single" w:sz="4" w:space="0" w:color="auto"/>
            </w:tcBorders>
            <w:shd w:val="clear" w:color="auto" w:fill="auto"/>
            <w:noWrap/>
            <w:vAlign w:val="bottom"/>
            <w:hideMark/>
          </w:tcPr>
          <w:p w14:paraId="72901A30"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R0180</w:t>
            </w:r>
          </w:p>
        </w:tc>
        <w:tc>
          <w:tcPr>
            <w:tcW w:w="992" w:type="dxa"/>
            <w:tcBorders>
              <w:top w:val="nil"/>
              <w:left w:val="nil"/>
              <w:bottom w:val="single" w:sz="4" w:space="0" w:color="auto"/>
              <w:right w:val="single" w:sz="4" w:space="0" w:color="auto"/>
            </w:tcBorders>
            <w:shd w:val="clear" w:color="000000" w:fill="FFFFFF"/>
            <w:noWrap/>
            <w:vAlign w:val="bottom"/>
            <w:hideMark/>
          </w:tcPr>
          <w:p w14:paraId="1D4996A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2669B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BB1E5B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2C6C10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DE8D74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897AA9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D79317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D6C43F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D78B73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B1AB52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AA4FED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6D0B41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F992B6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7223A51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5C80B7B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5115FF5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36482A49"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5B583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N–6</w:t>
            </w:r>
          </w:p>
        </w:tc>
        <w:tc>
          <w:tcPr>
            <w:tcW w:w="709" w:type="dxa"/>
            <w:tcBorders>
              <w:top w:val="nil"/>
              <w:left w:val="nil"/>
              <w:bottom w:val="single" w:sz="4" w:space="0" w:color="auto"/>
              <w:right w:val="single" w:sz="4" w:space="0" w:color="auto"/>
            </w:tcBorders>
            <w:shd w:val="clear" w:color="auto" w:fill="auto"/>
            <w:noWrap/>
            <w:vAlign w:val="bottom"/>
            <w:hideMark/>
          </w:tcPr>
          <w:p w14:paraId="7E54AEB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R0190</w:t>
            </w:r>
          </w:p>
        </w:tc>
        <w:tc>
          <w:tcPr>
            <w:tcW w:w="992" w:type="dxa"/>
            <w:tcBorders>
              <w:top w:val="nil"/>
              <w:left w:val="nil"/>
              <w:bottom w:val="single" w:sz="4" w:space="0" w:color="auto"/>
              <w:right w:val="single" w:sz="4" w:space="0" w:color="auto"/>
            </w:tcBorders>
            <w:shd w:val="clear" w:color="000000" w:fill="FFFFFF"/>
            <w:noWrap/>
            <w:vAlign w:val="bottom"/>
            <w:hideMark/>
          </w:tcPr>
          <w:p w14:paraId="11C08AA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9454E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F8AF8A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1717EA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7A15772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48A12B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FFD480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2C21CC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BD7A48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AD0013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8CBBF4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B76AD6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2E7771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14CFFD4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0A3368E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14D1C6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5F16D1AF"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8AFE4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N–5</w:t>
            </w:r>
          </w:p>
        </w:tc>
        <w:tc>
          <w:tcPr>
            <w:tcW w:w="709" w:type="dxa"/>
            <w:tcBorders>
              <w:top w:val="nil"/>
              <w:left w:val="nil"/>
              <w:bottom w:val="single" w:sz="4" w:space="0" w:color="auto"/>
              <w:right w:val="single" w:sz="4" w:space="0" w:color="auto"/>
            </w:tcBorders>
            <w:shd w:val="clear" w:color="auto" w:fill="auto"/>
            <w:noWrap/>
            <w:vAlign w:val="bottom"/>
            <w:hideMark/>
          </w:tcPr>
          <w:p w14:paraId="34498F68"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R0200</w:t>
            </w:r>
          </w:p>
        </w:tc>
        <w:tc>
          <w:tcPr>
            <w:tcW w:w="992" w:type="dxa"/>
            <w:tcBorders>
              <w:top w:val="nil"/>
              <w:left w:val="nil"/>
              <w:bottom w:val="single" w:sz="4" w:space="0" w:color="auto"/>
              <w:right w:val="single" w:sz="4" w:space="0" w:color="auto"/>
            </w:tcBorders>
            <w:shd w:val="clear" w:color="000000" w:fill="FFFFFF"/>
            <w:noWrap/>
            <w:vAlign w:val="bottom"/>
            <w:hideMark/>
          </w:tcPr>
          <w:p w14:paraId="050F69A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B55734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834406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798D3C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6D00E03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5A5976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CAE684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9E3D43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451536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EF9F90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6D259A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EC54D2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22DBEF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5002DB1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189B323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14E2E27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68E28C3F"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771A5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N–4</w:t>
            </w:r>
          </w:p>
        </w:tc>
        <w:tc>
          <w:tcPr>
            <w:tcW w:w="709" w:type="dxa"/>
            <w:tcBorders>
              <w:top w:val="nil"/>
              <w:left w:val="nil"/>
              <w:bottom w:val="single" w:sz="4" w:space="0" w:color="auto"/>
              <w:right w:val="single" w:sz="4" w:space="0" w:color="auto"/>
            </w:tcBorders>
            <w:shd w:val="clear" w:color="auto" w:fill="auto"/>
            <w:noWrap/>
            <w:vAlign w:val="bottom"/>
            <w:hideMark/>
          </w:tcPr>
          <w:p w14:paraId="393A476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R0210</w:t>
            </w:r>
          </w:p>
        </w:tc>
        <w:tc>
          <w:tcPr>
            <w:tcW w:w="992" w:type="dxa"/>
            <w:tcBorders>
              <w:top w:val="nil"/>
              <w:left w:val="nil"/>
              <w:bottom w:val="single" w:sz="4" w:space="0" w:color="auto"/>
              <w:right w:val="single" w:sz="4" w:space="0" w:color="auto"/>
            </w:tcBorders>
            <w:shd w:val="clear" w:color="000000" w:fill="FFFFFF"/>
            <w:noWrap/>
            <w:vAlign w:val="bottom"/>
            <w:hideMark/>
          </w:tcPr>
          <w:p w14:paraId="0BD3404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25573D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34960E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1179CC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1E5E80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C03A37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2A40D2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A98D50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430404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A1FF25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6A0ACB3"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D0E389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59E433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5386461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613BAC6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951F9A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6FFDACBC"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2B494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N–3</w:t>
            </w:r>
          </w:p>
        </w:tc>
        <w:tc>
          <w:tcPr>
            <w:tcW w:w="709" w:type="dxa"/>
            <w:tcBorders>
              <w:top w:val="nil"/>
              <w:left w:val="nil"/>
              <w:bottom w:val="single" w:sz="4" w:space="0" w:color="auto"/>
              <w:right w:val="single" w:sz="4" w:space="0" w:color="auto"/>
            </w:tcBorders>
            <w:shd w:val="clear" w:color="auto" w:fill="auto"/>
            <w:noWrap/>
            <w:vAlign w:val="bottom"/>
            <w:hideMark/>
          </w:tcPr>
          <w:p w14:paraId="55A6A39F"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R0220</w:t>
            </w:r>
          </w:p>
        </w:tc>
        <w:tc>
          <w:tcPr>
            <w:tcW w:w="992" w:type="dxa"/>
            <w:tcBorders>
              <w:top w:val="nil"/>
              <w:left w:val="nil"/>
              <w:bottom w:val="single" w:sz="4" w:space="0" w:color="auto"/>
              <w:right w:val="single" w:sz="4" w:space="0" w:color="auto"/>
            </w:tcBorders>
            <w:shd w:val="clear" w:color="000000" w:fill="FFFFFF"/>
            <w:noWrap/>
            <w:vAlign w:val="bottom"/>
            <w:hideMark/>
          </w:tcPr>
          <w:p w14:paraId="74DFF68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F00BAB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A0797B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054C2F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0EC7618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1F4766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A6FB79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AE2279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114C31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48DF66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5333A44"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94F22E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BFB272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4D1ABDB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15ED038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40AE0B8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328D345C"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1D88EF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N–2</w:t>
            </w:r>
          </w:p>
        </w:tc>
        <w:tc>
          <w:tcPr>
            <w:tcW w:w="709" w:type="dxa"/>
            <w:tcBorders>
              <w:top w:val="nil"/>
              <w:left w:val="nil"/>
              <w:bottom w:val="single" w:sz="4" w:space="0" w:color="auto"/>
              <w:right w:val="single" w:sz="4" w:space="0" w:color="auto"/>
            </w:tcBorders>
            <w:shd w:val="clear" w:color="auto" w:fill="auto"/>
            <w:noWrap/>
            <w:vAlign w:val="bottom"/>
            <w:hideMark/>
          </w:tcPr>
          <w:p w14:paraId="1BF0D46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R0230</w:t>
            </w:r>
          </w:p>
        </w:tc>
        <w:tc>
          <w:tcPr>
            <w:tcW w:w="992" w:type="dxa"/>
            <w:tcBorders>
              <w:top w:val="nil"/>
              <w:left w:val="nil"/>
              <w:bottom w:val="single" w:sz="4" w:space="0" w:color="auto"/>
              <w:right w:val="single" w:sz="4" w:space="0" w:color="auto"/>
            </w:tcBorders>
            <w:shd w:val="clear" w:color="000000" w:fill="FFFFFF"/>
            <w:noWrap/>
            <w:vAlign w:val="bottom"/>
            <w:hideMark/>
          </w:tcPr>
          <w:p w14:paraId="01120C7A"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5 423 974</w:t>
            </w:r>
          </w:p>
        </w:tc>
        <w:tc>
          <w:tcPr>
            <w:tcW w:w="992" w:type="dxa"/>
            <w:tcBorders>
              <w:top w:val="nil"/>
              <w:left w:val="nil"/>
              <w:bottom w:val="single" w:sz="4" w:space="0" w:color="auto"/>
              <w:right w:val="single" w:sz="4" w:space="0" w:color="auto"/>
            </w:tcBorders>
            <w:shd w:val="clear" w:color="000000" w:fill="FFFFFF"/>
            <w:noWrap/>
            <w:vAlign w:val="bottom"/>
            <w:hideMark/>
          </w:tcPr>
          <w:p w14:paraId="2C75649C"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1 016 995</w:t>
            </w:r>
          </w:p>
        </w:tc>
        <w:tc>
          <w:tcPr>
            <w:tcW w:w="709" w:type="dxa"/>
            <w:tcBorders>
              <w:top w:val="nil"/>
              <w:left w:val="nil"/>
              <w:bottom w:val="single" w:sz="4" w:space="0" w:color="auto"/>
              <w:right w:val="single" w:sz="4" w:space="0" w:color="auto"/>
            </w:tcBorders>
            <w:shd w:val="clear" w:color="000000" w:fill="FFFFFF"/>
            <w:noWrap/>
            <w:vAlign w:val="bottom"/>
            <w:hideMark/>
          </w:tcPr>
          <w:p w14:paraId="2EA188AB"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338 998</w:t>
            </w:r>
          </w:p>
        </w:tc>
        <w:tc>
          <w:tcPr>
            <w:tcW w:w="709" w:type="dxa"/>
            <w:tcBorders>
              <w:top w:val="nil"/>
              <w:left w:val="nil"/>
              <w:bottom w:val="single" w:sz="4" w:space="0" w:color="auto"/>
              <w:right w:val="single" w:sz="4" w:space="0" w:color="auto"/>
            </w:tcBorders>
            <w:shd w:val="clear" w:color="000000" w:fill="BFBFBF"/>
            <w:noWrap/>
            <w:vAlign w:val="bottom"/>
            <w:hideMark/>
          </w:tcPr>
          <w:p w14:paraId="0604DED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03E6216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E9C6A9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1B0D4FE"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7E7D8B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471F51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2D462E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8E3E35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995076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54AA86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7C2A6BA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0271AEE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5E4FB2D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3561865F"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E1E6BC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N–1</w:t>
            </w:r>
          </w:p>
        </w:tc>
        <w:tc>
          <w:tcPr>
            <w:tcW w:w="709" w:type="dxa"/>
            <w:tcBorders>
              <w:top w:val="nil"/>
              <w:left w:val="nil"/>
              <w:bottom w:val="single" w:sz="4" w:space="0" w:color="auto"/>
              <w:right w:val="single" w:sz="4" w:space="0" w:color="auto"/>
            </w:tcBorders>
            <w:shd w:val="clear" w:color="auto" w:fill="auto"/>
            <w:noWrap/>
            <w:vAlign w:val="bottom"/>
            <w:hideMark/>
          </w:tcPr>
          <w:p w14:paraId="2018F67A"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R0240</w:t>
            </w:r>
          </w:p>
        </w:tc>
        <w:tc>
          <w:tcPr>
            <w:tcW w:w="992" w:type="dxa"/>
            <w:tcBorders>
              <w:top w:val="nil"/>
              <w:left w:val="nil"/>
              <w:bottom w:val="single" w:sz="4" w:space="0" w:color="auto"/>
              <w:right w:val="single" w:sz="4" w:space="0" w:color="auto"/>
            </w:tcBorders>
            <w:shd w:val="clear" w:color="000000" w:fill="FFFFFF"/>
            <w:noWrap/>
            <w:vAlign w:val="bottom"/>
            <w:hideMark/>
          </w:tcPr>
          <w:p w14:paraId="78B469A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1 363 046</w:t>
            </w:r>
          </w:p>
        </w:tc>
        <w:tc>
          <w:tcPr>
            <w:tcW w:w="992" w:type="dxa"/>
            <w:tcBorders>
              <w:top w:val="nil"/>
              <w:left w:val="nil"/>
              <w:bottom w:val="single" w:sz="4" w:space="0" w:color="auto"/>
              <w:right w:val="single" w:sz="4" w:space="0" w:color="auto"/>
            </w:tcBorders>
            <w:shd w:val="clear" w:color="000000" w:fill="FFFFFF"/>
            <w:noWrap/>
            <w:vAlign w:val="bottom"/>
            <w:hideMark/>
          </w:tcPr>
          <w:p w14:paraId="3C471D5D"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454 349</w:t>
            </w:r>
          </w:p>
        </w:tc>
        <w:tc>
          <w:tcPr>
            <w:tcW w:w="709" w:type="dxa"/>
            <w:tcBorders>
              <w:top w:val="nil"/>
              <w:left w:val="nil"/>
              <w:bottom w:val="single" w:sz="4" w:space="0" w:color="auto"/>
              <w:right w:val="single" w:sz="4" w:space="0" w:color="auto"/>
            </w:tcBorders>
            <w:shd w:val="clear" w:color="000000" w:fill="BFBFBF"/>
            <w:noWrap/>
            <w:vAlign w:val="bottom"/>
            <w:hideMark/>
          </w:tcPr>
          <w:p w14:paraId="0F3E5B05"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636874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54F1E04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E34EF6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FD25CA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43938A7"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23F2B2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C67FBE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C38446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5A5220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B17FF2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42A4381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31087152"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2BF01BA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r w:rsidR="001D69FF" w:rsidRPr="00C164E7" w14:paraId="319B6467" w14:textId="77777777" w:rsidTr="001D69FF">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96CC6E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N</w:t>
            </w:r>
          </w:p>
        </w:tc>
        <w:tc>
          <w:tcPr>
            <w:tcW w:w="709" w:type="dxa"/>
            <w:tcBorders>
              <w:top w:val="nil"/>
              <w:left w:val="nil"/>
              <w:bottom w:val="single" w:sz="4" w:space="0" w:color="auto"/>
              <w:right w:val="single" w:sz="4" w:space="0" w:color="auto"/>
            </w:tcBorders>
            <w:shd w:val="clear" w:color="auto" w:fill="auto"/>
            <w:noWrap/>
            <w:vAlign w:val="bottom"/>
            <w:hideMark/>
          </w:tcPr>
          <w:p w14:paraId="5D173DF8"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R0250</w:t>
            </w:r>
          </w:p>
        </w:tc>
        <w:tc>
          <w:tcPr>
            <w:tcW w:w="992" w:type="dxa"/>
            <w:tcBorders>
              <w:top w:val="nil"/>
              <w:left w:val="nil"/>
              <w:bottom w:val="single" w:sz="4" w:space="0" w:color="auto"/>
              <w:right w:val="single" w:sz="4" w:space="0" w:color="auto"/>
            </w:tcBorders>
            <w:shd w:val="clear" w:color="000000" w:fill="FFFFFF"/>
            <w:noWrap/>
            <w:vAlign w:val="bottom"/>
            <w:hideMark/>
          </w:tcPr>
          <w:p w14:paraId="5FB139D2"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1 729 200</w:t>
            </w:r>
          </w:p>
        </w:tc>
        <w:tc>
          <w:tcPr>
            <w:tcW w:w="992" w:type="dxa"/>
            <w:tcBorders>
              <w:top w:val="nil"/>
              <w:left w:val="nil"/>
              <w:bottom w:val="single" w:sz="4" w:space="0" w:color="auto"/>
              <w:right w:val="single" w:sz="4" w:space="0" w:color="auto"/>
            </w:tcBorders>
            <w:shd w:val="clear" w:color="000000" w:fill="BFBFBF"/>
            <w:noWrap/>
            <w:vAlign w:val="bottom"/>
            <w:hideMark/>
          </w:tcPr>
          <w:p w14:paraId="2D040841"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0EBD6CB9" w14:textId="77777777" w:rsidR="00092A69" w:rsidRPr="00092A69" w:rsidRDefault="00092A69" w:rsidP="00092A69">
            <w:pPr>
              <w:spacing w:after="0" w:line="240" w:lineRule="auto"/>
              <w:jc w:val="center"/>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400B726"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7A7EDA48"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F89062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6BEB64D"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D648C9B"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572C7A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F63794F"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631CBC1"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F626EEC"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5E463C55"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676" w:type="dxa"/>
            <w:tcBorders>
              <w:top w:val="nil"/>
              <w:left w:val="nil"/>
              <w:bottom w:val="single" w:sz="4" w:space="0" w:color="auto"/>
              <w:right w:val="single" w:sz="4" w:space="0" w:color="auto"/>
            </w:tcBorders>
            <w:shd w:val="clear" w:color="000000" w:fill="BFBFBF"/>
            <w:noWrap/>
            <w:vAlign w:val="bottom"/>
            <w:hideMark/>
          </w:tcPr>
          <w:p w14:paraId="47857899"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550" w:type="dxa"/>
            <w:gridSpan w:val="2"/>
            <w:tcBorders>
              <w:top w:val="nil"/>
              <w:left w:val="nil"/>
              <w:bottom w:val="single" w:sz="4" w:space="0" w:color="auto"/>
              <w:right w:val="single" w:sz="4" w:space="0" w:color="auto"/>
            </w:tcBorders>
            <w:shd w:val="clear" w:color="000000" w:fill="BFBFBF"/>
            <w:noWrap/>
            <w:vAlign w:val="bottom"/>
            <w:hideMark/>
          </w:tcPr>
          <w:p w14:paraId="667058C0"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c>
          <w:tcPr>
            <w:tcW w:w="758" w:type="dxa"/>
            <w:tcBorders>
              <w:top w:val="nil"/>
              <w:left w:val="nil"/>
              <w:bottom w:val="single" w:sz="4" w:space="0" w:color="auto"/>
              <w:right w:val="single" w:sz="4" w:space="0" w:color="auto"/>
            </w:tcBorders>
            <w:shd w:val="clear" w:color="000000" w:fill="BFBFBF"/>
            <w:noWrap/>
            <w:vAlign w:val="bottom"/>
            <w:hideMark/>
          </w:tcPr>
          <w:p w14:paraId="7F09AF6A" w14:textId="77777777" w:rsidR="00092A69" w:rsidRPr="00092A69" w:rsidRDefault="00092A69" w:rsidP="00092A69">
            <w:pPr>
              <w:spacing w:after="0" w:line="240" w:lineRule="auto"/>
              <w:rPr>
                <w:rFonts w:ascii="Calibri" w:eastAsia="Times New Roman" w:hAnsi="Calibri" w:cs="Calibri"/>
                <w:color w:val="000000"/>
                <w:sz w:val="16"/>
                <w:szCs w:val="16"/>
                <w:lang w:eastAsia="cs-CZ"/>
              </w:rPr>
            </w:pPr>
            <w:r w:rsidRPr="00092A69">
              <w:rPr>
                <w:rFonts w:ascii="Calibri" w:eastAsia="Times New Roman" w:hAnsi="Calibri" w:cs="Calibri"/>
                <w:color w:val="000000"/>
                <w:sz w:val="16"/>
                <w:szCs w:val="16"/>
                <w:lang w:eastAsia="cs-CZ"/>
              </w:rPr>
              <w:t> </w:t>
            </w:r>
          </w:p>
        </w:tc>
      </w:tr>
    </w:tbl>
    <w:p w14:paraId="0A573FA4" w14:textId="114A337B" w:rsidR="00C334AB" w:rsidRDefault="00C334AB" w:rsidP="00FA5B54">
      <w:pPr>
        <w:sectPr w:rsidR="00C334AB" w:rsidSect="0066315B">
          <w:pgSz w:w="16838" w:h="11906" w:orient="landscape"/>
          <w:pgMar w:top="851" w:right="709" w:bottom="426" w:left="993" w:header="708" w:footer="708" w:gutter="0"/>
          <w:cols w:space="708"/>
          <w:docGrid w:linePitch="360"/>
        </w:sectPr>
      </w:pPr>
    </w:p>
    <w:p w14:paraId="098BC83C" w14:textId="77777777" w:rsidR="00FA5B54" w:rsidRDefault="00FA5B54" w:rsidP="00FA5B54">
      <w:pPr>
        <w:pStyle w:val="Nadpis2"/>
        <w:rPr>
          <w:color w:val="auto"/>
        </w:rPr>
      </w:pPr>
      <w:bookmarkStart w:id="46" w:name="_Toc75366910"/>
      <w:r w:rsidRPr="00D121FD">
        <w:rPr>
          <w:color w:val="auto"/>
        </w:rPr>
        <w:lastRenderedPageBreak/>
        <w:t>S.23.01.01 Kapitál</w:t>
      </w:r>
      <w:bookmarkEnd w:id="46"/>
    </w:p>
    <w:p w14:paraId="528D620A" w14:textId="77777777" w:rsidR="00FA5B54" w:rsidRPr="00D121FD" w:rsidRDefault="00FA5B54" w:rsidP="00FA5B54"/>
    <w:tbl>
      <w:tblPr>
        <w:tblW w:w="9781" w:type="dxa"/>
        <w:tblCellMar>
          <w:left w:w="70" w:type="dxa"/>
          <w:right w:w="70" w:type="dxa"/>
        </w:tblCellMar>
        <w:tblLook w:val="04A0" w:firstRow="1" w:lastRow="0" w:firstColumn="1" w:lastColumn="0" w:noHBand="0" w:noVBand="1"/>
      </w:tblPr>
      <w:tblGrid>
        <w:gridCol w:w="4820"/>
        <w:gridCol w:w="567"/>
        <w:gridCol w:w="1134"/>
        <w:gridCol w:w="1276"/>
        <w:gridCol w:w="850"/>
        <w:gridCol w:w="567"/>
        <w:gridCol w:w="567"/>
      </w:tblGrid>
      <w:tr w:rsidR="0045411F" w:rsidRPr="007961A0" w14:paraId="4F423820" w14:textId="77777777" w:rsidTr="000A34E7">
        <w:tc>
          <w:tcPr>
            <w:tcW w:w="4820" w:type="dxa"/>
            <w:tcBorders>
              <w:top w:val="nil"/>
              <w:left w:val="nil"/>
              <w:bottom w:val="nil"/>
              <w:right w:val="nil"/>
            </w:tcBorders>
            <w:shd w:val="clear" w:color="auto" w:fill="auto"/>
            <w:noWrap/>
            <w:vAlign w:val="bottom"/>
            <w:hideMark/>
          </w:tcPr>
          <w:p w14:paraId="108E8E64" w14:textId="1B571D0A" w:rsidR="00F85D46" w:rsidRPr="00F85D46" w:rsidRDefault="00F85D46" w:rsidP="00F85D46">
            <w:pPr>
              <w:spacing w:after="0" w:line="240" w:lineRule="auto"/>
              <w:rPr>
                <w:rFonts w:eastAsia="Times New Roman" w:cstheme="minorHAnsi"/>
                <w:b/>
                <w:bCs/>
                <w:color w:val="000000"/>
                <w:sz w:val="14"/>
                <w:szCs w:val="14"/>
                <w:lang w:eastAsia="cs-CZ"/>
              </w:rPr>
            </w:pPr>
          </w:p>
        </w:tc>
        <w:tc>
          <w:tcPr>
            <w:tcW w:w="567" w:type="dxa"/>
            <w:tcBorders>
              <w:top w:val="nil"/>
              <w:left w:val="nil"/>
              <w:bottom w:val="nil"/>
              <w:right w:val="nil"/>
            </w:tcBorders>
            <w:shd w:val="clear" w:color="auto" w:fill="auto"/>
            <w:noWrap/>
            <w:vAlign w:val="bottom"/>
            <w:hideMark/>
          </w:tcPr>
          <w:p w14:paraId="47F94534" w14:textId="77777777" w:rsidR="00F85D46" w:rsidRPr="00F85D46" w:rsidRDefault="00F85D46" w:rsidP="00F85D46">
            <w:pPr>
              <w:spacing w:after="0" w:line="240" w:lineRule="auto"/>
              <w:rPr>
                <w:rFonts w:eastAsia="Times New Roman" w:cstheme="minorHAnsi"/>
                <w:b/>
                <w:bCs/>
                <w:color w:val="000000"/>
                <w:sz w:val="14"/>
                <w:szCs w:val="14"/>
                <w:lang w:eastAsia="cs-CZ"/>
              </w:rPr>
            </w:pPr>
          </w:p>
        </w:tc>
        <w:tc>
          <w:tcPr>
            <w:tcW w:w="1134" w:type="dxa"/>
            <w:tcBorders>
              <w:top w:val="nil"/>
              <w:left w:val="nil"/>
              <w:bottom w:val="nil"/>
              <w:right w:val="nil"/>
            </w:tcBorders>
            <w:shd w:val="clear" w:color="auto" w:fill="auto"/>
            <w:noWrap/>
            <w:vAlign w:val="bottom"/>
            <w:hideMark/>
          </w:tcPr>
          <w:p w14:paraId="40E0C28B" w14:textId="77777777" w:rsidR="00F85D46" w:rsidRPr="00F85D46" w:rsidRDefault="00F85D46" w:rsidP="00F85D46">
            <w:pPr>
              <w:spacing w:after="0" w:line="240" w:lineRule="auto"/>
              <w:rPr>
                <w:rFonts w:eastAsia="Times New Roman" w:cstheme="minorHAnsi"/>
                <w:sz w:val="14"/>
                <w:szCs w:val="14"/>
                <w:lang w:eastAsia="cs-CZ"/>
              </w:rPr>
            </w:pPr>
          </w:p>
        </w:tc>
        <w:tc>
          <w:tcPr>
            <w:tcW w:w="1276" w:type="dxa"/>
            <w:tcBorders>
              <w:top w:val="nil"/>
              <w:left w:val="nil"/>
              <w:bottom w:val="nil"/>
              <w:right w:val="nil"/>
            </w:tcBorders>
            <w:shd w:val="clear" w:color="auto" w:fill="auto"/>
            <w:noWrap/>
            <w:vAlign w:val="bottom"/>
            <w:hideMark/>
          </w:tcPr>
          <w:p w14:paraId="0994227F" w14:textId="77777777" w:rsidR="00F85D46" w:rsidRPr="00F85D46" w:rsidRDefault="00F85D46" w:rsidP="00F85D46">
            <w:pPr>
              <w:spacing w:after="0" w:line="240" w:lineRule="auto"/>
              <w:rPr>
                <w:rFonts w:eastAsia="Times New Roman" w:cstheme="minorHAnsi"/>
                <w:sz w:val="14"/>
                <w:szCs w:val="14"/>
                <w:lang w:eastAsia="cs-CZ"/>
              </w:rPr>
            </w:pPr>
          </w:p>
        </w:tc>
        <w:tc>
          <w:tcPr>
            <w:tcW w:w="850" w:type="dxa"/>
            <w:tcBorders>
              <w:top w:val="nil"/>
              <w:left w:val="nil"/>
              <w:bottom w:val="nil"/>
              <w:right w:val="nil"/>
            </w:tcBorders>
            <w:shd w:val="clear" w:color="auto" w:fill="auto"/>
            <w:noWrap/>
            <w:vAlign w:val="bottom"/>
            <w:hideMark/>
          </w:tcPr>
          <w:p w14:paraId="12FC0701"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69A572EC"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0B36C578" w14:textId="77777777" w:rsidR="00F85D46" w:rsidRPr="00F85D46" w:rsidRDefault="00F85D46" w:rsidP="00F85D46">
            <w:pPr>
              <w:spacing w:after="0" w:line="240" w:lineRule="auto"/>
              <w:rPr>
                <w:rFonts w:eastAsia="Times New Roman" w:cstheme="minorHAnsi"/>
                <w:sz w:val="14"/>
                <w:szCs w:val="14"/>
                <w:lang w:eastAsia="cs-CZ"/>
              </w:rPr>
            </w:pPr>
          </w:p>
        </w:tc>
      </w:tr>
      <w:tr w:rsidR="0045411F" w:rsidRPr="007961A0" w14:paraId="09638203" w14:textId="77777777" w:rsidTr="000A34E7">
        <w:tc>
          <w:tcPr>
            <w:tcW w:w="4820" w:type="dxa"/>
            <w:tcBorders>
              <w:top w:val="nil"/>
              <w:left w:val="nil"/>
              <w:bottom w:val="nil"/>
              <w:right w:val="nil"/>
            </w:tcBorders>
            <w:shd w:val="clear" w:color="auto" w:fill="auto"/>
            <w:noWrap/>
            <w:vAlign w:val="bottom"/>
            <w:hideMark/>
          </w:tcPr>
          <w:p w14:paraId="3A7011EC"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786C4C98" w14:textId="77777777" w:rsidR="00F85D46" w:rsidRPr="00F85D46" w:rsidRDefault="00F85D46" w:rsidP="00F85D46">
            <w:pPr>
              <w:spacing w:after="0" w:line="240" w:lineRule="auto"/>
              <w:rPr>
                <w:rFonts w:eastAsia="Times New Roman" w:cstheme="minorHAnsi"/>
                <w:sz w:val="14"/>
                <w:szCs w:val="14"/>
                <w:lang w:eastAsia="cs-CZ"/>
              </w:rPr>
            </w:pPr>
          </w:p>
        </w:tc>
        <w:tc>
          <w:tcPr>
            <w:tcW w:w="1134" w:type="dxa"/>
            <w:tcBorders>
              <w:top w:val="nil"/>
              <w:left w:val="nil"/>
              <w:bottom w:val="nil"/>
              <w:right w:val="nil"/>
            </w:tcBorders>
            <w:shd w:val="clear" w:color="auto" w:fill="auto"/>
            <w:noWrap/>
            <w:vAlign w:val="bottom"/>
            <w:hideMark/>
          </w:tcPr>
          <w:p w14:paraId="6DC35675" w14:textId="77777777" w:rsidR="00F85D46" w:rsidRPr="00F85D46" w:rsidRDefault="00F85D46" w:rsidP="00F85D46">
            <w:pPr>
              <w:spacing w:after="0" w:line="240" w:lineRule="auto"/>
              <w:rPr>
                <w:rFonts w:eastAsia="Times New Roman" w:cstheme="minorHAnsi"/>
                <w:sz w:val="14"/>
                <w:szCs w:val="14"/>
                <w:lang w:eastAsia="cs-CZ"/>
              </w:rPr>
            </w:pPr>
          </w:p>
        </w:tc>
        <w:tc>
          <w:tcPr>
            <w:tcW w:w="1276" w:type="dxa"/>
            <w:tcBorders>
              <w:top w:val="nil"/>
              <w:left w:val="nil"/>
              <w:bottom w:val="nil"/>
              <w:right w:val="nil"/>
            </w:tcBorders>
            <w:shd w:val="clear" w:color="auto" w:fill="auto"/>
            <w:noWrap/>
            <w:vAlign w:val="bottom"/>
            <w:hideMark/>
          </w:tcPr>
          <w:p w14:paraId="79D8AE6D" w14:textId="77777777" w:rsidR="00F85D46" w:rsidRPr="00F85D46" w:rsidRDefault="00F85D46" w:rsidP="00F85D46">
            <w:pPr>
              <w:spacing w:after="0" w:line="240" w:lineRule="auto"/>
              <w:rPr>
                <w:rFonts w:eastAsia="Times New Roman" w:cstheme="minorHAnsi"/>
                <w:sz w:val="14"/>
                <w:szCs w:val="14"/>
                <w:lang w:eastAsia="cs-CZ"/>
              </w:rPr>
            </w:pPr>
          </w:p>
        </w:tc>
        <w:tc>
          <w:tcPr>
            <w:tcW w:w="850" w:type="dxa"/>
            <w:tcBorders>
              <w:top w:val="nil"/>
              <w:left w:val="nil"/>
              <w:bottom w:val="nil"/>
              <w:right w:val="nil"/>
            </w:tcBorders>
            <w:shd w:val="clear" w:color="auto" w:fill="auto"/>
            <w:noWrap/>
            <w:vAlign w:val="bottom"/>
            <w:hideMark/>
          </w:tcPr>
          <w:p w14:paraId="08A88968"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44AC0D5C"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17894D34" w14:textId="77777777" w:rsidR="00F85D46" w:rsidRPr="00F85D46" w:rsidRDefault="00F85D46" w:rsidP="00F85D46">
            <w:pPr>
              <w:spacing w:after="0" w:line="240" w:lineRule="auto"/>
              <w:rPr>
                <w:rFonts w:eastAsia="Times New Roman" w:cstheme="minorHAnsi"/>
                <w:sz w:val="14"/>
                <w:szCs w:val="14"/>
                <w:lang w:eastAsia="cs-CZ"/>
              </w:rPr>
            </w:pPr>
          </w:p>
        </w:tc>
      </w:tr>
      <w:tr w:rsidR="0045411F" w:rsidRPr="007961A0" w14:paraId="27859DD6" w14:textId="77777777" w:rsidTr="000A34E7">
        <w:tc>
          <w:tcPr>
            <w:tcW w:w="4820" w:type="dxa"/>
            <w:tcBorders>
              <w:top w:val="nil"/>
              <w:left w:val="nil"/>
              <w:bottom w:val="nil"/>
              <w:right w:val="nil"/>
            </w:tcBorders>
            <w:shd w:val="clear" w:color="auto" w:fill="auto"/>
            <w:noWrap/>
            <w:vAlign w:val="bottom"/>
            <w:hideMark/>
          </w:tcPr>
          <w:p w14:paraId="497F5075" w14:textId="77777777" w:rsidR="00F85D46" w:rsidRPr="00F85D46" w:rsidRDefault="00F85D46" w:rsidP="00F85D46">
            <w:pPr>
              <w:spacing w:after="0" w:line="240" w:lineRule="auto"/>
              <w:rPr>
                <w:rFonts w:eastAsia="Times New Roman" w:cstheme="minorHAnsi"/>
                <w:sz w:val="14"/>
                <w:szCs w:val="14"/>
                <w:lang w:eastAsia="cs-CZ"/>
              </w:rPr>
            </w:pPr>
          </w:p>
        </w:tc>
        <w:tc>
          <w:tcPr>
            <w:tcW w:w="567" w:type="dxa"/>
            <w:tcBorders>
              <w:top w:val="nil"/>
              <w:left w:val="nil"/>
              <w:bottom w:val="nil"/>
              <w:right w:val="nil"/>
            </w:tcBorders>
            <w:shd w:val="clear" w:color="auto" w:fill="auto"/>
            <w:noWrap/>
            <w:vAlign w:val="bottom"/>
            <w:hideMark/>
          </w:tcPr>
          <w:p w14:paraId="343E6827" w14:textId="77777777" w:rsidR="00F85D46" w:rsidRPr="00F85D46" w:rsidRDefault="00F85D46" w:rsidP="00F85D46">
            <w:pPr>
              <w:spacing w:after="0" w:line="240" w:lineRule="auto"/>
              <w:rPr>
                <w:rFonts w:eastAsia="Times New Roman" w:cstheme="minorHAnsi"/>
                <w:sz w:val="14"/>
                <w:szCs w:val="14"/>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7D3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Celkem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870AD6"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Tier</w:t>
            </w:r>
            <w:proofErr w:type="spellEnd"/>
            <w:r w:rsidRPr="00F85D46">
              <w:rPr>
                <w:rFonts w:eastAsia="Times New Roman" w:cstheme="minorHAnsi"/>
                <w:color w:val="000000"/>
                <w:sz w:val="14"/>
                <w:szCs w:val="14"/>
                <w:lang w:eastAsia="cs-CZ"/>
              </w:rPr>
              <w:t xml:space="preserve"> 1 – neomezené</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2B79BBE"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Tier</w:t>
            </w:r>
            <w:proofErr w:type="spellEnd"/>
            <w:r w:rsidRPr="00F85D46">
              <w:rPr>
                <w:rFonts w:eastAsia="Times New Roman" w:cstheme="minorHAnsi"/>
                <w:color w:val="000000"/>
                <w:sz w:val="14"/>
                <w:szCs w:val="14"/>
                <w:lang w:eastAsia="cs-CZ"/>
              </w:rPr>
              <w:t xml:space="preserve"> 1 – omezené</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DEA65C"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Tier</w:t>
            </w:r>
            <w:proofErr w:type="spellEnd"/>
            <w:r w:rsidRPr="00F85D46">
              <w:rPr>
                <w:rFonts w:eastAsia="Times New Roman" w:cstheme="minorHAnsi"/>
                <w:color w:val="000000"/>
                <w:sz w:val="14"/>
                <w:szCs w:val="14"/>
                <w:lang w:eastAsia="cs-CZ"/>
              </w:rPr>
              <w:t xml:space="preserve">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A0E533"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Tier</w:t>
            </w:r>
            <w:proofErr w:type="spellEnd"/>
            <w:r w:rsidRPr="00F85D46">
              <w:rPr>
                <w:rFonts w:eastAsia="Times New Roman" w:cstheme="minorHAnsi"/>
                <w:color w:val="000000"/>
                <w:sz w:val="14"/>
                <w:szCs w:val="14"/>
                <w:lang w:eastAsia="cs-CZ"/>
              </w:rPr>
              <w:t xml:space="preserve"> 3</w:t>
            </w:r>
          </w:p>
        </w:tc>
      </w:tr>
      <w:tr w:rsidR="0045411F" w:rsidRPr="007961A0" w14:paraId="3A6750CA" w14:textId="77777777" w:rsidTr="000A34E7">
        <w:tc>
          <w:tcPr>
            <w:tcW w:w="4820" w:type="dxa"/>
            <w:tcBorders>
              <w:top w:val="nil"/>
              <w:left w:val="nil"/>
              <w:bottom w:val="nil"/>
              <w:right w:val="nil"/>
            </w:tcBorders>
            <w:shd w:val="clear" w:color="auto" w:fill="auto"/>
            <w:noWrap/>
            <w:vAlign w:val="bottom"/>
            <w:hideMark/>
          </w:tcPr>
          <w:p w14:paraId="4C04D915" w14:textId="77777777" w:rsidR="00F85D46" w:rsidRPr="00F85D46" w:rsidRDefault="00F85D46" w:rsidP="00F85D46">
            <w:pPr>
              <w:spacing w:after="0" w:line="240" w:lineRule="auto"/>
              <w:rPr>
                <w:rFonts w:eastAsia="Times New Roman" w:cstheme="minorHAnsi"/>
                <w:color w:val="000000"/>
                <w:sz w:val="14"/>
                <w:szCs w:val="14"/>
                <w:lang w:eastAsia="cs-CZ"/>
              </w:rPr>
            </w:pPr>
          </w:p>
        </w:tc>
        <w:tc>
          <w:tcPr>
            <w:tcW w:w="567" w:type="dxa"/>
            <w:tcBorders>
              <w:top w:val="nil"/>
              <w:left w:val="nil"/>
              <w:bottom w:val="nil"/>
              <w:right w:val="nil"/>
            </w:tcBorders>
            <w:shd w:val="clear" w:color="auto" w:fill="auto"/>
            <w:noWrap/>
            <w:vAlign w:val="bottom"/>
            <w:hideMark/>
          </w:tcPr>
          <w:p w14:paraId="7108D943" w14:textId="77777777" w:rsidR="00F85D46" w:rsidRPr="00F85D46" w:rsidRDefault="00F85D46" w:rsidP="00F85D46">
            <w:pPr>
              <w:spacing w:after="0" w:line="240" w:lineRule="auto"/>
              <w:rPr>
                <w:rFonts w:eastAsia="Times New Roman" w:cstheme="minorHAnsi"/>
                <w:sz w:val="14"/>
                <w:szCs w:val="14"/>
                <w:lang w:eastAsia="cs-CZ"/>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83C8FC"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C0010</w:t>
            </w:r>
          </w:p>
        </w:tc>
        <w:tc>
          <w:tcPr>
            <w:tcW w:w="1276" w:type="dxa"/>
            <w:tcBorders>
              <w:top w:val="nil"/>
              <w:left w:val="nil"/>
              <w:bottom w:val="single" w:sz="4" w:space="0" w:color="auto"/>
              <w:right w:val="single" w:sz="4" w:space="0" w:color="auto"/>
            </w:tcBorders>
            <w:shd w:val="clear" w:color="auto" w:fill="auto"/>
            <w:noWrap/>
            <w:vAlign w:val="bottom"/>
            <w:hideMark/>
          </w:tcPr>
          <w:p w14:paraId="09C2704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C0020</w:t>
            </w:r>
          </w:p>
        </w:tc>
        <w:tc>
          <w:tcPr>
            <w:tcW w:w="850" w:type="dxa"/>
            <w:tcBorders>
              <w:top w:val="nil"/>
              <w:left w:val="nil"/>
              <w:bottom w:val="single" w:sz="4" w:space="0" w:color="auto"/>
              <w:right w:val="single" w:sz="4" w:space="0" w:color="auto"/>
            </w:tcBorders>
            <w:shd w:val="clear" w:color="auto" w:fill="auto"/>
            <w:noWrap/>
            <w:vAlign w:val="bottom"/>
            <w:hideMark/>
          </w:tcPr>
          <w:p w14:paraId="0358EEB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C0030</w:t>
            </w:r>
          </w:p>
        </w:tc>
        <w:tc>
          <w:tcPr>
            <w:tcW w:w="567" w:type="dxa"/>
            <w:tcBorders>
              <w:top w:val="nil"/>
              <w:left w:val="nil"/>
              <w:bottom w:val="single" w:sz="4" w:space="0" w:color="auto"/>
              <w:right w:val="single" w:sz="4" w:space="0" w:color="auto"/>
            </w:tcBorders>
            <w:shd w:val="clear" w:color="auto" w:fill="auto"/>
            <w:noWrap/>
            <w:vAlign w:val="bottom"/>
            <w:hideMark/>
          </w:tcPr>
          <w:p w14:paraId="05CB97F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C0040</w:t>
            </w:r>
          </w:p>
        </w:tc>
        <w:tc>
          <w:tcPr>
            <w:tcW w:w="567" w:type="dxa"/>
            <w:tcBorders>
              <w:top w:val="nil"/>
              <w:left w:val="nil"/>
              <w:bottom w:val="single" w:sz="4" w:space="0" w:color="auto"/>
              <w:right w:val="single" w:sz="4" w:space="0" w:color="auto"/>
            </w:tcBorders>
            <w:shd w:val="clear" w:color="auto" w:fill="auto"/>
            <w:noWrap/>
            <w:vAlign w:val="bottom"/>
            <w:hideMark/>
          </w:tcPr>
          <w:p w14:paraId="6E908C67"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C0050</w:t>
            </w:r>
          </w:p>
        </w:tc>
      </w:tr>
      <w:tr w:rsidR="0045411F" w:rsidRPr="007961A0" w14:paraId="6D206B8B" w14:textId="77777777" w:rsidTr="000A34E7">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33B8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Primární kapitál před odečtením kapitálové účasti v jiném finančním odvětví ve smyslu článku 68 nařízení v přenesené pravomoci 2015/35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5EDA2C"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E48BB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D010F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327C3C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78D656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6790E2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1C9519C6"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0FCAA5F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Kmenový akciový kapitál (hrubá hodnota vlastních akcií)</w:t>
            </w:r>
          </w:p>
        </w:tc>
        <w:tc>
          <w:tcPr>
            <w:tcW w:w="567" w:type="dxa"/>
            <w:tcBorders>
              <w:top w:val="nil"/>
              <w:left w:val="nil"/>
              <w:bottom w:val="single" w:sz="4" w:space="0" w:color="auto"/>
              <w:right w:val="single" w:sz="4" w:space="0" w:color="auto"/>
            </w:tcBorders>
            <w:shd w:val="clear" w:color="auto" w:fill="auto"/>
            <w:noWrap/>
            <w:vAlign w:val="bottom"/>
            <w:hideMark/>
          </w:tcPr>
          <w:p w14:paraId="6C4EA35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R0010</w:t>
            </w:r>
          </w:p>
        </w:tc>
        <w:tc>
          <w:tcPr>
            <w:tcW w:w="1134" w:type="dxa"/>
            <w:tcBorders>
              <w:top w:val="nil"/>
              <w:left w:val="nil"/>
              <w:bottom w:val="single" w:sz="4" w:space="0" w:color="auto"/>
              <w:right w:val="single" w:sz="4" w:space="0" w:color="auto"/>
            </w:tcBorders>
            <w:shd w:val="clear" w:color="auto" w:fill="auto"/>
            <w:noWrap/>
            <w:vAlign w:val="bottom"/>
            <w:hideMark/>
          </w:tcPr>
          <w:p w14:paraId="1FDE196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90 932 002</w:t>
            </w:r>
          </w:p>
        </w:tc>
        <w:tc>
          <w:tcPr>
            <w:tcW w:w="1276" w:type="dxa"/>
            <w:tcBorders>
              <w:top w:val="nil"/>
              <w:left w:val="nil"/>
              <w:bottom w:val="single" w:sz="4" w:space="0" w:color="auto"/>
              <w:right w:val="single" w:sz="4" w:space="0" w:color="auto"/>
            </w:tcBorders>
            <w:shd w:val="clear" w:color="auto" w:fill="auto"/>
            <w:noWrap/>
            <w:vAlign w:val="bottom"/>
            <w:hideMark/>
          </w:tcPr>
          <w:p w14:paraId="2682412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90 932 002</w:t>
            </w:r>
          </w:p>
        </w:tc>
        <w:tc>
          <w:tcPr>
            <w:tcW w:w="850" w:type="dxa"/>
            <w:tcBorders>
              <w:top w:val="nil"/>
              <w:left w:val="nil"/>
              <w:bottom w:val="single" w:sz="4" w:space="0" w:color="auto"/>
              <w:right w:val="single" w:sz="4" w:space="0" w:color="auto"/>
            </w:tcBorders>
            <w:shd w:val="clear" w:color="auto" w:fill="auto"/>
            <w:noWrap/>
            <w:vAlign w:val="bottom"/>
            <w:hideMark/>
          </w:tcPr>
          <w:p w14:paraId="6E09D40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A18C5A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36248F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2A3C2F7F"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F0A7AB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Emisní ážio související s kmenovým akciovým kapitálem</w:t>
            </w:r>
          </w:p>
        </w:tc>
        <w:tc>
          <w:tcPr>
            <w:tcW w:w="567" w:type="dxa"/>
            <w:tcBorders>
              <w:top w:val="nil"/>
              <w:left w:val="nil"/>
              <w:bottom w:val="single" w:sz="4" w:space="0" w:color="auto"/>
              <w:right w:val="single" w:sz="4" w:space="0" w:color="auto"/>
            </w:tcBorders>
            <w:shd w:val="clear" w:color="auto" w:fill="auto"/>
            <w:noWrap/>
            <w:vAlign w:val="bottom"/>
            <w:hideMark/>
          </w:tcPr>
          <w:p w14:paraId="70120096"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R0030</w:t>
            </w:r>
          </w:p>
        </w:tc>
        <w:tc>
          <w:tcPr>
            <w:tcW w:w="1134" w:type="dxa"/>
            <w:tcBorders>
              <w:top w:val="nil"/>
              <w:left w:val="nil"/>
              <w:bottom w:val="single" w:sz="4" w:space="0" w:color="auto"/>
              <w:right w:val="single" w:sz="4" w:space="0" w:color="auto"/>
            </w:tcBorders>
            <w:shd w:val="clear" w:color="auto" w:fill="auto"/>
            <w:noWrap/>
            <w:vAlign w:val="bottom"/>
            <w:hideMark/>
          </w:tcPr>
          <w:p w14:paraId="7DAD7958"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1512B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5A7CBA8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D573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0D6C47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36B15C8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61F6F74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Počáteční prostředky, příspěvky společníků nebo rovnocenná položka primárního kapitálu u vzájemných pojišťoven a zajišťoven nebo pojišťoven a zajišťoven na bázi vzájemnosti</w:t>
            </w:r>
          </w:p>
        </w:tc>
        <w:tc>
          <w:tcPr>
            <w:tcW w:w="567" w:type="dxa"/>
            <w:tcBorders>
              <w:top w:val="nil"/>
              <w:left w:val="nil"/>
              <w:bottom w:val="single" w:sz="4" w:space="0" w:color="auto"/>
              <w:right w:val="single" w:sz="4" w:space="0" w:color="auto"/>
            </w:tcBorders>
            <w:shd w:val="clear" w:color="auto" w:fill="auto"/>
            <w:noWrap/>
            <w:vAlign w:val="bottom"/>
            <w:hideMark/>
          </w:tcPr>
          <w:p w14:paraId="5A7A087B"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R0040</w:t>
            </w:r>
          </w:p>
        </w:tc>
        <w:tc>
          <w:tcPr>
            <w:tcW w:w="1134" w:type="dxa"/>
            <w:tcBorders>
              <w:top w:val="nil"/>
              <w:left w:val="nil"/>
              <w:bottom w:val="single" w:sz="4" w:space="0" w:color="auto"/>
              <w:right w:val="single" w:sz="4" w:space="0" w:color="auto"/>
            </w:tcBorders>
            <w:shd w:val="clear" w:color="auto" w:fill="auto"/>
            <w:noWrap/>
            <w:vAlign w:val="bottom"/>
            <w:hideMark/>
          </w:tcPr>
          <w:p w14:paraId="16A449C7"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AF0AC5"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513CF93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B32728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961597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4495FC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4D37996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Podřízené účty vzájemných pojišťoven</w:t>
            </w:r>
          </w:p>
        </w:tc>
        <w:tc>
          <w:tcPr>
            <w:tcW w:w="567" w:type="dxa"/>
            <w:tcBorders>
              <w:top w:val="nil"/>
              <w:left w:val="nil"/>
              <w:bottom w:val="single" w:sz="4" w:space="0" w:color="auto"/>
              <w:right w:val="single" w:sz="4" w:space="0" w:color="auto"/>
            </w:tcBorders>
            <w:shd w:val="clear" w:color="auto" w:fill="auto"/>
            <w:noWrap/>
            <w:vAlign w:val="bottom"/>
            <w:hideMark/>
          </w:tcPr>
          <w:p w14:paraId="6904257B"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R0050</w:t>
            </w:r>
          </w:p>
        </w:tc>
        <w:tc>
          <w:tcPr>
            <w:tcW w:w="1134" w:type="dxa"/>
            <w:tcBorders>
              <w:top w:val="nil"/>
              <w:left w:val="nil"/>
              <w:bottom w:val="single" w:sz="4" w:space="0" w:color="auto"/>
              <w:right w:val="single" w:sz="4" w:space="0" w:color="auto"/>
            </w:tcBorders>
            <w:shd w:val="clear" w:color="auto" w:fill="auto"/>
            <w:noWrap/>
            <w:vAlign w:val="bottom"/>
            <w:hideMark/>
          </w:tcPr>
          <w:p w14:paraId="5F1EDA9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B3C252"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34328ED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29FB4A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3E1B0D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6C15AB1E"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DED0A7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Disponibilní bonusový fond</w:t>
            </w:r>
          </w:p>
        </w:tc>
        <w:tc>
          <w:tcPr>
            <w:tcW w:w="567" w:type="dxa"/>
            <w:tcBorders>
              <w:top w:val="nil"/>
              <w:left w:val="nil"/>
              <w:bottom w:val="single" w:sz="4" w:space="0" w:color="auto"/>
              <w:right w:val="single" w:sz="4" w:space="0" w:color="auto"/>
            </w:tcBorders>
            <w:shd w:val="clear" w:color="auto" w:fill="auto"/>
            <w:noWrap/>
            <w:vAlign w:val="bottom"/>
            <w:hideMark/>
          </w:tcPr>
          <w:p w14:paraId="29B6A27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R0070</w:t>
            </w:r>
          </w:p>
        </w:tc>
        <w:tc>
          <w:tcPr>
            <w:tcW w:w="1134" w:type="dxa"/>
            <w:tcBorders>
              <w:top w:val="nil"/>
              <w:left w:val="nil"/>
              <w:bottom w:val="single" w:sz="4" w:space="0" w:color="auto"/>
              <w:right w:val="single" w:sz="4" w:space="0" w:color="auto"/>
            </w:tcBorders>
            <w:shd w:val="clear" w:color="auto" w:fill="auto"/>
            <w:noWrap/>
            <w:vAlign w:val="bottom"/>
            <w:hideMark/>
          </w:tcPr>
          <w:p w14:paraId="5E845E8A"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2BB8C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035BE88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7F38AA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51A46A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0ED18159"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652830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Prioritní akcie</w:t>
            </w:r>
          </w:p>
        </w:tc>
        <w:tc>
          <w:tcPr>
            <w:tcW w:w="567" w:type="dxa"/>
            <w:tcBorders>
              <w:top w:val="nil"/>
              <w:left w:val="nil"/>
              <w:bottom w:val="single" w:sz="4" w:space="0" w:color="auto"/>
              <w:right w:val="single" w:sz="4" w:space="0" w:color="auto"/>
            </w:tcBorders>
            <w:shd w:val="clear" w:color="auto" w:fill="auto"/>
            <w:noWrap/>
            <w:vAlign w:val="bottom"/>
            <w:hideMark/>
          </w:tcPr>
          <w:p w14:paraId="767A6BF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R0090</w:t>
            </w:r>
          </w:p>
        </w:tc>
        <w:tc>
          <w:tcPr>
            <w:tcW w:w="1134" w:type="dxa"/>
            <w:tcBorders>
              <w:top w:val="nil"/>
              <w:left w:val="nil"/>
              <w:bottom w:val="single" w:sz="4" w:space="0" w:color="auto"/>
              <w:right w:val="single" w:sz="4" w:space="0" w:color="auto"/>
            </w:tcBorders>
            <w:shd w:val="clear" w:color="auto" w:fill="auto"/>
            <w:noWrap/>
            <w:vAlign w:val="bottom"/>
            <w:hideMark/>
          </w:tcPr>
          <w:p w14:paraId="518C4E8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AC5CD8"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057283D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539945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CFDC73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4A71059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65BF56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Emisní ážio související s prioritními akciemi</w:t>
            </w:r>
          </w:p>
        </w:tc>
        <w:tc>
          <w:tcPr>
            <w:tcW w:w="567" w:type="dxa"/>
            <w:tcBorders>
              <w:top w:val="nil"/>
              <w:left w:val="nil"/>
              <w:bottom w:val="single" w:sz="4" w:space="0" w:color="auto"/>
              <w:right w:val="single" w:sz="4" w:space="0" w:color="auto"/>
            </w:tcBorders>
            <w:shd w:val="clear" w:color="auto" w:fill="auto"/>
            <w:noWrap/>
            <w:vAlign w:val="bottom"/>
            <w:hideMark/>
          </w:tcPr>
          <w:p w14:paraId="60E2EBA7"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R0110</w:t>
            </w:r>
          </w:p>
        </w:tc>
        <w:tc>
          <w:tcPr>
            <w:tcW w:w="1134" w:type="dxa"/>
            <w:tcBorders>
              <w:top w:val="nil"/>
              <w:left w:val="nil"/>
              <w:bottom w:val="single" w:sz="4" w:space="0" w:color="auto"/>
              <w:right w:val="single" w:sz="4" w:space="0" w:color="auto"/>
            </w:tcBorders>
            <w:shd w:val="clear" w:color="auto" w:fill="auto"/>
            <w:noWrap/>
            <w:vAlign w:val="bottom"/>
            <w:hideMark/>
          </w:tcPr>
          <w:p w14:paraId="7C77411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088D3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11D13B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38A7D4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2F48A7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13D536D7"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6CF0768D"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Přeceňovací</w:t>
            </w:r>
            <w:proofErr w:type="spellEnd"/>
            <w:r w:rsidRPr="00F85D46">
              <w:rPr>
                <w:rFonts w:eastAsia="Times New Roman" w:cstheme="minorHAnsi"/>
                <w:color w:val="000000"/>
                <w:sz w:val="14"/>
                <w:szCs w:val="14"/>
                <w:lang w:eastAsia="cs-CZ"/>
              </w:rPr>
              <w:t xml:space="preserve"> rezervní fond</w:t>
            </w:r>
          </w:p>
        </w:tc>
        <w:tc>
          <w:tcPr>
            <w:tcW w:w="567" w:type="dxa"/>
            <w:tcBorders>
              <w:top w:val="nil"/>
              <w:left w:val="nil"/>
              <w:bottom w:val="single" w:sz="4" w:space="0" w:color="auto"/>
              <w:right w:val="single" w:sz="4" w:space="0" w:color="auto"/>
            </w:tcBorders>
            <w:shd w:val="clear" w:color="auto" w:fill="auto"/>
            <w:noWrap/>
            <w:vAlign w:val="bottom"/>
            <w:hideMark/>
          </w:tcPr>
          <w:p w14:paraId="6000F35C"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R0130</w:t>
            </w:r>
          </w:p>
        </w:tc>
        <w:tc>
          <w:tcPr>
            <w:tcW w:w="1134" w:type="dxa"/>
            <w:tcBorders>
              <w:top w:val="nil"/>
              <w:left w:val="nil"/>
              <w:bottom w:val="single" w:sz="4" w:space="0" w:color="auto"/>
              <w:right w:val="single" w:sz="4" w:space="0" w:color="auto"/>
            </w:tcBorders>
            <w:shd w:val="clear" w:color="auto" w:fill="auto"/>
            <w:noWrap/>
            <w:vAlign w:val="bottom"/>
            <w:hideMark/>
          </w:tcPr>
          <w:p w14:paraId="1F84FF3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50 015 888</w:t>
            </w:r>
          </w:p>
        </w:tc>
        <w:tc>
          <w:tcPr>
            <w:tcW w:w="1276" w:type="dxa"/>
            <w:tcBorders>
              <w:top w:val="nil"/>
              <w:left w:val="nil"/>
              <w:bottom w:val="single" w:sz="4" w:space="0" w:color="auto"/>
              <w:right w:val="single" w:sz="4" w:space="0" w:color="auto"/>
            </w:tcBorders>
            <w:shd w:val="clear" w:color="auto" w:fill="auto"/>
            <w:noWrap/>
            <w:vAlign w:val="bottom"/>
            <w:hideMark/>
          </w:tcPr>
          <w:p w14:paraId="4C40B9C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50 015 888</w:t>
            </w:r>
          </w:p>
        </w:tc>
        <w:tc>
          <w:tcPr>
            <w:tcW w:w="850" w:type="dxa"/>
            <w:tcBorders>
              <w:top w:val="nil"/>
              <w:left w:val="nil"/>
              <w:bottom w:val="single" w:sz="4" w:space="0" w:color="auto"/>
              <w:right w:val="single" w:sz="4" w:space="0" w:color="auto"/>
            </w:tcBorders>
            <w:shd w:val="clear" w:color="auto" w:fill="auto"/>
            <w:noWrap/>
            <w:vAlign w:val="bottom"/>
            <w:hideMark/>
          </w:tcPr>
          <w:p w14:paraId="6A24C3D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F7ADFB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7E413B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0AF17553"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75A5840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Podřízené závazky</w:t>
            </w:r>
          </w:p>
        </w:tc>
        <w:tc>
          <w:tcPr>
            <w:tcW w:w="567" w:type="dxa"/>
            <w:tcBorders>
              <w:top w:val="nil"/>
              <w:left w:val="nil"/>
              <w:bottom w:val="single" w:sz="4" w:space="0" w:color="auto"/>
              <w:right w:val="single" w:sz="4" w:space="0" w:color="auto"/>
            </w:tcBorders>
            <w:shd w:val="clear" w:color="auto" w:fill="auto"/>
            <w:noWrap/>
            <w:vAlign w:val="bottom"/>
            <w:hideMark/>
          </w:tcPr>
          <w:p w14:paraId="69C7345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R0140</w:t>
            </w:r>
          </w:p>
        </w:tc>
        <w:tc>
          <w:tcPr>
            <w:tcW w:w="1134" w:type="dxa"/>
            <w:tcBorders>
              <w:top w:val="nil"/>
              <w:left w:val="nil"/>
              <w:bottom w:val="single" w:sz="4" w:space="0" w:color="auto"/>
              <w:right w:val="single" w:sz="4" w:space="0" w:color="auto"/>
            </w:tcBorders>
            <w:shd w:val="clear" w:color="auto" w:fill="auto"/>
            <w:noWrap/>
            <w:vAlign w:val="bottom"/>
            <w:hideMark/>
          </w:tcPr>
          <w:p w14:paraId="1A30F7F5"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A52481"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5176530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35C68D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B2FFC5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630528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6C2E961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Částka, která se rovná hodnotě čistých aktiv s odloženou daňovou povinností</w:t>
            </w:r>
          </w:p>
        </w:tc>
        <w:tc>
          <w:tcPr>
            <w:tcW w:w="567" w:type="dxa"/>
            <w:tcBorders>
              <w:top w:val="nil"/>
              <w:left w:val="nil"/>
              <w:bottom w:val="single" w:sz="4" w:space="0" w:color="auto"/>
              <w:right w:val="single" w:sz="4" w:space="0" w:color="auto"/>
            </w:tcBorders>
            <w:shd w:val="clear" w:color="auto" w:fill="auto"/>
            <w:noWrap/>
            <w:vAlign w:val="bottom"/>
            <w:hideMark/>
          </w:tcPr>
          <w:p w14:paraId="5240DF4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R0160</w:t>
            </w:r>
          </w:p>
        </w:tc>
        <w:tc>
          <w:tcPr>
            <w:tcW w:w="1134" w:type="dxa"/>
            <w:tcBorders>
              <w:top w:val="nil"/>
              <w:left w:val="nil"/>
              <w:bottom w:val="single" w:sz="4" w:space="0" w:color="auto"/>
              <w:right w:val="single" w:sz="4" w:space="0" w:color="auto"/>
            </w:tcBorders>
            <w:shd w:val="clear" w:color="auto" w:fill="auto"/>
            <w:noWrap/>
            <w:vAlign w:val="bottom"/>
            <w:hideMark/>
          </w:tcPr>
          <w:p w14:paraId="1DC16D7F"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927369"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2D62478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E5FE63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00F4E0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3BF48E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6DB00E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Jiné položky kapitálu schválené orgánem dohledu jako primární kapitál nespecifikovaný výše</w:t>
            </w:r>
          </w:p>
        </w:tc>
        <w:tc>
          <w:tcPr>
            <w:tcW w:w="567" w:type="dxa"/>
            <w:tcBorders>
              <w:top w:val="nil"/>
              <w:left w:val="nil"/>
              <w:bottom w:val="single" w:sz="4" w:space="0" w:color="auto"/>
              <w:right w:val="single" w:sz="4" w:space="0" w:color="auto"/>
            </w:tcBorders>
            <w:shd w:val="clear" w:color="auto" w:fill="auto"/>
            <w:noWrap/>
            <w:vAlign w:val="bottom"/>
            <w:hideMark/>
          </w:tcPr>
          <w:p w14:paraId="6ABE5B0F"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R0180</w:t>
            </w:r>
          </w:p>
        </w:tc>
        <w:tc>
          <w:tcPr>
            <w:tcW w:w="1134" w:type="dxa"/>
            <w:tcBorders>
              <w:top w:val="nil"/>
              <w:left w:val="nil"/>
              <w:bottom w:val="single" w:sz="4" w:space="0" w:color="auto"/>
              <w:right w:val="single" w:sz="4" w:space="0" w:color="auto"/>
            </w:tcBorders>
            <w:shd w:val="clear" w:color="auto" w:fill="auto"/>
            <w:noWrap/>
            <w:vAlign w:val="bottom"/>
            <w:hideMark/>
          </w:tcPr>
          <w:p w14:paraId="23B830AF"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306211"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72F24B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6A0EBD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684124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48516160"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0C5D78F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xml:space="preserve">Kapitál z účetních závěrek, který by neměl být zastoupen v </w:t>
            </w:r>
            <w:proofErr w:type="spellStart"/>
            <w:r w:rsidRPr="00F85D46">
              <w:rPr>
                <w:rFonts w:eastAsia="Times New Roman" w:cstheme="minorHAnsi"/>
                <w:color w:val="000000"/>
                <w:sz w:val="14"/>
                <w:szCs w:val="14"/>
                <w:lang w:eastAsia="cs-CZ"/>
              </w:rPr>
              <w:t>přeceňovacím</w:t>
            </w:r>
            <w:proofErr w:type="spellEnd"/>
            <w:r w:rsidRPr="00F85D46">
              <w:rPr>
                <w:rFonts w:eastAsia="Times New Roman" w:cstheme="minorHAnsi"/>
                <w:color w:val="000000"/>
                <w:sz w:val="14"/>
                <w:szCs w:val="14"/>
                <w:lang w:eastAsia="cs-CZ"/>
              </w:rPr>
              <w:t xml:space="preserve"> rezervním fondu a který nesplňuje kritéria pro zařazení mezi kapitál podle směrnice Solventnost II</w:t>
            </w:r>
          </w:p>
        </w:tc>
        <w:tc>
          <w:tcPr>
            <w:tcW w:w="567" w:type="dxa"/>
            <w:tcBorders>
              <w:top w:val="nil"/>
              <w:left w:val="nil"/>
              <w:bottom w:val="single" w:sz="4" w:space="0" w:color="auto"/>
              <w:right w:val="single" w:sz="4" w:space="0" w:color="auto"/>
            </w:tcBorders>
            <w:shd w:val="clear" w:color="auto" w:fill="auto"/>
            <w:noWrap/>
            <w:vAlign w:val="bottom"/>
            <w:hideMark/>
          </w:tcPr>
          <w:p w14:paraId="78F6D061"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A516F8"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6EFA2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B7F0CF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420800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DDD27E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6918B103"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7511752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xml:space="preserve">Kapitál z účetních závěrek, který by neměl být zastoupen v </w:t>
            </w:r>
            <w:proofErr w:type="spellStart"/>
            <w:r w:rsidRPr="00F85D46">
              <w:rPr>
                <w:rFonts w:eastAsia="Times New Roman" w:cstheme="minorHAnsi"/>
                <w:color w:val="000000"/>
                <w:sz w:val="14"/>
                <w:szCs w:val="14"/>
                <w:lang w:eastAsia="cs-CZ"/>
              </w:rPr>
              <w:t>přeceňovacím</w:t>
            </w:r>
            <w:proofErr w:type="spellEnd"/>
            <w:r w:rsidRPr="00F85D46">
              <w:rPr>
                <w:rFonts w:eastAsia="Times New Roman" w:cstheme="minorHAnsi"/>
                <w:color w:val="000000"/>
                <w:sz w:val="14"/>
                <w:szCs w:val="14"/>
                <w:lang w:eastAsia="cs-CZ"/>
              </w:rPr>
              <w:t xml:space="preserve"> rezervním fondu a který nesplňuje kritéria pro zařazení mezi kapitál podle směrnice Solventnost II</w:t>
            </w:r>
          </w:p>
        </w:tc>
        <w:tc>
          <w:tcPr>
            <w:tcW w:w="567" w:type="dxa"/>
            <w:tcBorders>
              <w:top w:val="nil"/>
              <w:left w:val="nil"/>
              <w:bottom w:val="single" w:sz="4" w:space="0" w:color="auto"/>
              <w:right w:val="single" w:sz="4" w:space="0" w:color="auto"/>
            </w:tcBorders>
            <w:shd w:val="clear" w:color="auto" w:fill="auto"/>
            <w:noWrap/>
            <w:vAlign w:val="bottom"/>
            <w:hideMark/>
          </w:tcPr>
          <w:p w14:paraId="39C7DB0B"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R0220</w:t>
            </w:r>
          </w:p>
        </w:tc>
        <w:tc>
          <w:tcPr>
            <w:tcW w:w="1134" w:type="dxa"/>
            <w:tcBorders>
              <w:top w:val="nil"/>
              <w:left w:val="nil"/>
              <w:bottom w:val="single" w:sz="4" w:space="0" w:color="auto"/>
              <w:right w:val="single" w:sz="4" w:space="0" w:color="auto"/>
            </w:tcBorders>
            <w:shd w:val="clear" w:color="auto" w:fill="auto"/>
            <w:noWrap/>
            <w:vAlign w:val="bottom"/>
            <w:hideMark/>
          </w:tcPr>
          <w:p w14:paraId="432AFD4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4457A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4FE4667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83C665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02EA91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0D32DBF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734BB70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Srážky</w:t>
            </w:r>
          </w:p>
        </w:tc>
        <w:tc>
          <w:tcPr>
            <w:tcW w:w="567" w:type="dxa"/>
            <w:tcBorders>
              <w:top w:val="nil"/>
              <w:left w:val="nil"/>
              <w:bottom w:val="single" w:sz="4" w:space="0" w:color="auto"/>
              <w:right w:val="single" w:sz="4" w:space="0" w:color="auto"/>
            </w:tcBorders>
            <w:shd w:val="clear" w:color="auto" w:fill="auto"/>
            <w:noWrap/>
            <w:vAlign w:val="bottom"/>
            <w:hideMark/>
          </w:tcPr>
          <w:p w14:paraId="3AB85EF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1F9C78"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C27BAA"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90EFAF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EBE467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4A15B2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ED1AAB2"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732E0CD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Odpočty účasti ve finančních a úvěrových institucích</w:t>
            </w:r>
          </w:p>
        </w:tc>
        <w:tc>
          <w:tcPr>
            <w:tcW w:w="567" w:type="dxa"/>
            <w:tcBorders>
              <w:top w:val="nil"/>
              <w:left w:val="nil"/>
              <w:bottom w:val="single" w:sz="4" w:space="0" w:color="auto"/>
              <w:right w:val="single" w:sz="4" w:space="0" w:color="auto"/>
            </w:tcBorders>
            <w:shd w:val="clear" w:color="auto" w:fill="auto"/>
            <w:noWrap/>
            <w:vAlign w:val="bottom"/>
            <w:hideMark/>
          </w:tcPr>
          <w:p w14:paraId="48AF7A15"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R0230</w:t>
            </w:r>
          </w:p>
        </w:tc>
        <w:tc>
          <w:tcPr>
            <w:tcW w:w="1134" w:type="dxa"/>
            <w:tcBorders>
              <w:top w:val="nil"/>
              <w:left w:val="nil"/>
              <w:bottom w:val="single" w:sz="4" w:space="0" w:color="auto"/>
              <w:right w:val="single" w:sz="4" w:space="0" w:color="auto"/>
            </w:tcBorders>
            <w:shd w:val="clear" w:color="auto" w:fill="auto"/>
            <w:noWrap/>
            <w:vAlign w:val="bottom"/>
            <w:hideMark/>
          </w:tcPr>
          <w:p w14:paraId="0EEB59B7"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DD6C09"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69C1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91E095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058842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04C425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2C8E5E2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Celkový primární kapitál po odpočtech</w:t>
            </w:r>
          </w:p>
        </w:tc>
        <w:tc>
          <w:tcPr>
            <w:tcW w:w="567" w:type="dxa"/>
            <w:tcBorders>
              <w:top w:val="nil"/>
              <w:left w:val="nil"/>
              <w:bottom w:val="single" w:sz="4" w:space="0" w:color="auto"/>
              <w:right w:val="single" w:sz="4" w:space="0" w:color="auto"/>
            </w:tcBorders>
            <w:shd w:val="clear" w:color="auto" w:fill="auto"/>
            <w:noWrap/>
            <w:vAlign w:val="bottom"/>
            <w:hideMark/>
          </w:tcPr>
          <w:p w14:paraId="6CBF178B"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R0290</w:t>
            </w:r>
          </w:p>
        </w:tc>
        <w:tc>
          <w:tcPr>
            <w:tcW w:w="1134" w:type="dxa"/>
            <w:tcBorders>
              <w:top w:val="nil"/>
              <w:left w:val="nil"/>
              <w:bottom w:val="single" w:sz="4" w:space="0" w:color="auto"/>
              <w:right w:val="single" w:sz="4" w:space="0" w:color="auto"/>
            </w:tcBorders>
            <w:shd w:val="clear" w:color="auto" w:fill="auto"/>
            <w:noWrap/>
            <w:vAlign w:val="bottom"/>
            <w:hideMark/>
          </w:tcPr>
          <w:p w14:paraId="79F728BA"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1276" w:type="dxa"/>
            <w:tcBorders>
              <w:top w:val="nil"/>
              <w:left w:val="nil"/>
              <w:bottom w:val="single" w:sz="4" w:space="0" w:color="auto"/>
              <w:right w:val="single" w:sz="4" w:space="0" w:color="auto"/>
            </w:tcBorders>
            <w:shd w:val="clear" w:color="auto" w:fill="auto"/>
            <w:noWrap/>
            <w:vAlign w:val="bottom"/>
            <w:hideMark/>
          </w:tcPr>
          <w:p w14:paraId="19E263E1"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850" w:type="dxa"/>
            <w:tcBorders>
              <w:top w:val="nil"/>
              <w:left w:val="nil"/>
              <w:bottom w:val="single" w:sz="4" w:space="0" w:color="auto"/>
              <w:right w:val="single" w:sz="4" w:space="0" w:color="auto"/>
            </w:tcBorders>
            <w:shd w:val="clear" w:color="auto" w:fill="auto"/>
            <w:noWrap/>
            <w:vAlign w:val="bottom"/>
            <w:hideMark/>
          </w:tcPr>
          <w:p w14:paraId="1D1E6F6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3A492E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BA411D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17AF322B"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89AAF8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Doplňkový kapitál</w:t>
            </w:r>
          </w:p>
        </w:tc>
        <w:tc>
          <w:tcPr>
            <w:tcW w:w="567" w:type="dxa"/>
            <w:tcBorders>
              <w:top w:val="nil"/>
              <w:left w:val="nil"/>
              <w:bottom w:val="single" w:sz="4" w:space="0" w:color="auto"/>
              <w:right w:val="single" w:sz="4" w:space="0" w:color="auto"/>
            </w:tcBorders>
            <w:shd w:val="clear" w:color="auto" w:fill="auto"/>
            <w:noWrap/>
            <w:vAlign w:val="bottom"/>
            <w:hideMark/>
          </w:tcPr>
          <w:p w14:paraId="214D4589"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14AA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4A814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724E3DA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E9F5C9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2AF3C7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B4D6106"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724510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Kmenový akciový kapitál splatný na požádání, který nebyl splacen, a nebyla podána výzva k jeho splacení</w:t>
            </w:r>
          </w:p>
        </w:tc>
        <w:tc>
          <w:tcPr>
            <w:tcW w:w="567" w:type="dxa"/>
            <w:tcBorders>
              <w:top w:val="nil"/>
              <w:left w:val="nil"/>
              <w:bottom w:val="single" w:sz="4" w:space="0" w:color="auto"/>
              <w:right w:val="single" w:sz="4" w:space="0" w:color="auto"/>
            </w:tcBorders>
            <w:shd w:val="clear" w:color="auto" w:fill="auto"/>
            <w:noWrap/>
            <w:vAlign w:val="bottom"/>
            <w:hideMark/>
          </w:tcPr>
          <w:p w14:paraId="07461766"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R0300</w:t>
            </w:r>
          </w:p>
        </w:tc>
        <w:tc>
          <w:tcPr>
            <w:tcW w:w="1134" w:type="dxa"/>
            <w:tcBorders>
              <w:top w:val="nil"/>
              <w:left w:val="nil"/>
              <w:bottom w:val="single" w:sz="4" w:space="0" w:color="auto"/>
              <w:right w:val="single" w:sz="4" w:space="0" w:color="auto"/>
            </w:tcBorders>
            <w:shd w:val="clear" w:color="auto" w:fill="auto"/>
            <w:noWrap/>
            <w:vAlign w:val="bottom"/>
            <w:hideMark/>
          </w:tcPr>
          <w:p w14:paraId="26FC55F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7A70C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2945FEF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D529CF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55DD1F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7B0B43B"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4290110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Počáteční prostředky, příspěvky společníků nebo rovnocenná položka primárního kapitálu u vzájemných pojišťoven a zajišťoven nebo pojišťoven a zajišťoven na bázi vzájemnosti splatné na požádání, které nebyly splaceny a nebyla podána výzva k jejich splacení</w:t>
            </w:r>
          </w:p>
        </w:tc>
        <w:tc>
          <w:tcPr>
            <w:tcW w:w="567" w:type="dxa"/>
            <w:tcBorders>
              <w:top w:val="nil"/>
              <w:left w:val="nil"/>
              <w:bottom w:val="single" w:sz="4" w:space="0" w:color="auto"/>
              <w:right w:val="single" w:sz="4" w:space="0" w:color="auto"/>
            </w:tcBorders>
            <w:shd w:val="clear" w:color="auto" w:fill="auto"/>
            <w:noWrap/>
            <w:vAlign w:val="bottom"/>
            <w:hideMark/>
          </w:tcPr>
          <w:p w14:paraId="2BE9F7F6"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R0310</w:t>
            </w:r>
          </w:p>
        </w:tc>
        <w:tc>
          <w:tcPr>
            <w:tcW w:w="1134" w:type="dxa"/>
            <w:tcBorders>
              <w:top w:val="nil"/>
              <w:left w:val="nil"/>
              <w:bottom w:val="single" w:sz="4" w:space="0" w:color="auto"/>
              <w:right w:val="single" w:sz="4" w:space="0" w:color="auto"/>
            </w:tcBorders>
            <w:shd w:val="clear" w:color="auto" w:fill="auto"/>
            <w:noWrap/>
            <w:vAlign w:val="bottom"/>
            <w:hideMark/>
          </w:tcPr>
          <w:p w14:paraId="49DA579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5FBAD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6B8F824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B86A6A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7B4370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1B27B7A"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0FF126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Prioritní akcie splatné na požádání, které nebyly splaceny, a nebyla podána výzva k jejich splacení</w:t>
            </w:r>
          </w:p>
        </w:tc>
        <w:tc>
          <w:tcPr>
            <w:tcW w:w="567" w:type="dxa"/>
            <w:tcBorders>
              <w:top w:val="nil"/>
              <w:left w:val="nil"/>
              <w:bottom w:val="single" w:sz="4" w:space="0" w:color="auto"/>
              <w:right w:val="single" w:sz="4" w:space="0" w:color="auto"/>
            </w:tcBorders>
            <w:shd w:val="clear" w:color="auto" w:fill="auto"/>
            <w:noWrap/>
            <w:vAlign w:val="bottom"/>
            <w:hideMark/>
          </w:tcPr>
          <w:p w14:paraId="4472B50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R0320</w:t>
            </w:r>
          </w:p>
        </w:tc>
        <w:tc>
          <w:tcPr>
            <w:tcW w:w="1134" w:type="dxa"/>
            <w:tcBorders>
              <w:top w:val="nil"/>
              <w:left w:val="nil"/>
              <w:bottom w:val="single" w:sz="4" w:space="0" w:color="auto"/>
              <w:right w:val="single" w:sz="4" w:space="0" w:color="auto"/>
            </w:tcBorders>
            <w:shd w:val="clear" w:color="auto" w:fill="auto"/>
            <w:noWrap/>
            <w:vAlign w:val="bottom"/>
            <w:hideMark/>
          </w:tcPr>
          <w:p w14:paraId="7F9736F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56E4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2203DEF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98DE01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2DB49F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34F83A4E"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4737C7D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Právně závazný závazek upsat a zaplatit podřízené závazky na požádání</w:t>
            </w:r>
          </w:p>
        </w:tc>
        <w:tc>
          <w:tcPr>
            <w:tcW w:w="567" w:type="dxa"/>
            <w:tcBorders>
              <w:top w:val="nil"/>
              <w:left w:val="nil"/>
              <w:bottom w:val="single" w:sz="4" w:space="0" w:color="auto"/>
              <w:right w:val="single" w:sz="4" w:space="0" w:color="auto"/>
            </w:tcBorders>
            <w:shd w:val="clear" w:color="auto" w:fill="auto"/>
            <w:noWrap/>
            <w:vAlign w:val="bottom"/>
            <w:hideMark/>
          </w:tcPr>
          <w:p w14:paraId="41FB739A"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R0330</w:t>
            </w:r>
          </w:p>
        </w:tc>
        <w:tc>
          <w:tcPr>
            <w:tcW w:w="1134" w:type="dxa"/>
            <w:tcBorders>
              <w:top w:val="nil"/>
              <w:left w:val="nil"/>
              <w:bottom w:val="single" w:sz="4" w:space="0" w:color="auto"/>
              <w:right w:val="single" w:sz="4" w:space="0" w:color="auto"/>
            </w:tcBorders>
            <w:shd w:val="clear" w:color="auto" w:fill="auto"/>
            <w:noWrap/>
            <w:vAlign w:val="bottom"/>
            <w:hideMark/>
          </w:tcPr>
          <w:p w14:paraId="668EC09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0804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5C53E6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AF84B9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277B21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1CF4C019"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1E1984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Akreditivy a záruky podle čl. 96 odst. 2 směrnice 2009/138/ES</w:t>
            </w:r>
          </w:p>
        </w:tc>
        <w:tc>
          <w:tcPr>
            <w:tcW w:w="567" w:type="dxa"/>
            <w:tcBorders>
              <w:top w:val="nil"/>
              <w:left w:val="nil"/>
              <w:bottom w:val="single" w:sz="4" w:space="0" w:color="auto"/>
              <w:right w:val="single" w:sz="4" w:space="0" w:color="auto"/>
            </w:tcBorders>
            <w:shd w:val="clear" w:color="auto" w:fill="auto"/>
            <w:noWrap/>
            <w:vAlign w:val="bottom"/>
            <w:hideMark/>
          </w:tcPr>
          <w:p w14:paraId="369BC2BF"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R0340</w:t>
            </w:r>
          </w:p>
        </w:tc>
        <w:tc>
          <w:tcPr>
            <w:tcW w:w="1134" w:type="dxa"/>
            <w:tcBorders>
              <w:top w:val="nil"/>
              <w:left w:val="nil"/>
              <w:bottom w:val="single" w:sz="4" w:space="0" w:color="auto"/>
              <w:right w:val="single" w:sz="4" w:space="0" w:color="auto"/>
            </w:tcBorders>
            <w:shd w:val="clear" w:color="auto" w:fill="auto"/>
            <w:noWrap/>
            <w:vAlign w:val="bottom"/>
            <w:hideMark/>
          </w:tcPr>
          <w:p w14:paraId="108AE2E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2F25F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ACF2B4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8BAFF8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8E9D09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4D35E106"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747A473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Akreditivy a záruky jiné než podle čl. 96 odst. 2 směrnice 2009/138/ES</w:t>
            </w:r>
          </w:p>
        </w:tc>
        <w:tc>
          <w:tcPr>
            <w:tcW w:w="567" w:type="dxa"/>
            <w:tcBorders>
              <w:top w:val="nil"/>
              <w:left w:val="nil"/>
              <w:bottom w:val="single" w:sz="4" w:space="0" w:color="auto"/>
              <w:right w:val="single" w:sz="4" w:space="0" w:color="auto"/>
            </w:tcBorders>
            <w:shd w:val="clear" w:color="auto" w:fill="auto"/>
            <w:noWrap/>
            <w:vAlign w:val="bottom"/>
            <w:hideMark/>
          </w:tcPr>
          <w:p w14:paraId="120BC5E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R0350</w:t>
            </w:r>
          </w:p>
        </w:tc>
        <w:tc>
          <w:tcPr>
            <w:tcW w:w="1134" w:type="dxa"/>
            <w:tcBorders>
              <w:top w:val="nil"/>
              <w:left w:val="nil"/>
              <w:bottom w:val="single" w:sz="4" w:space="0" w:color="auto"/>
              <w:right w:val="single" w:sz="4" w:space="0" w:color="auto"/>
            </w:tcBorders>
            <w:shd w:val="clear" w:color="auto" w:fill="auto"/>
            <w:noWrap/>
            <w:vAlign w:val="bottom"/>
            <w:hideMark/>
          </w:tcPr>
          <w:p w14:paraId="68B4FC1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39281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65C4241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0A889F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CC2189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2A3E66BD"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2706754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Výzvy členům k dodatečným příspěvkům podle prvního pododstavce čl. 96 odst. 3 směrnice 2009/138/ES</w:t>
            </w:r>
          </w:p>
        </w:tc>
        <w:tc>
          <w:tcPr>
            <w:tcW w:w="567" w:type="dxa"/>
            <w:tcBorders>
              <w:top w:val="nil"/>
              <w:left w:val="nil"/>
              <w:bottom w:val="single" w:sz="4" w:space="0" w:color="auto"/>
              <w:right w:val="single" w:sz="4" w:space="0" w:color="auto"/>
            </w:tcBorders>
            <w:shd w:val="clear" w:color="auto" w:fill="auto"/>
            <w:noWrap/>
            <w:vAlign w:val="bottom"/>
            <w:hideMark/>
          </w:tcPr>
          <w:p w14:paraId="3DCEE7CF"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R0360</w:t>
            </w:r>
          </w:p>
        </w:tc>
        <w:tc>
          <w:tcPr>
            <w:tcW w:w="1134" w:type="dxa"/>
            <w:tcBorders>
              <w:top w:val="nil"/>
              <w:left w:val="nil"/>
              <w:bottom w:val="single" w:sz="4" w:space="0" w:color="auto"/>
              <w:right w:val="single" w:sz="4" w:space="0" w:color="auto"/>
            </w:tcBorders>
            <w:shd w:val="clear" w:color="auto" w:fill="auto"/>
            <w:noWrap/>
            <w:vAlign w:val="bottom"/>
            <w:hideMark/>
          </w:tcPr>
          <w:p w14:paraId="459FCC1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644FD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0956BBC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F6E734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B48FDD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1BD3A83"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6F8276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Výzvy členům k dodatečným příspěvkům jiné než podle prvního pododstavce čl. 96 odst. 3 směrnice 2009/138/ES</w:t>
            </w:r>
          </w:p>
        </w:tc>
        <w:tc>
          <w:tcPr>
            <w:tcW w:w="567" w:type="dxa"/>
            <w:tcBorders>
              <w:top w:val="nil"/>
              <w:left w:val="nil"/>
              <w:bottom w:val="single" w:sz="4" w:space="0" w:color="auto"/>
              <w:right w:val="single" w:sz="4" w:space="0" w:color="auto"/>
            </w:tcBorders>
            <w:shd w:val="clear" w:color="auto" w:fill="auto"/>
            <w:noWrap/>
            <w:vAlign w:val="bottom"/>
            <w:hideMark/>
          </w:tcPr>
          <w:p w14:paraId="690C1326"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R0370</w:t>
            </w:r>
          </w:p>
        </w:tc>
        <w:tc>
          <w:tcPr>
            <w:tcW w:w="1134" w:type="dxa"/>
            <w:tcBorders>
              <w:top w:val="nil"/>
              <w:left w:val="nil"/>
              <w:bottom w:val="single" w:sz="4" w:space="0" w:color="auto"/>
              <w:right w:val="single" w:sz="4" w:space="0" w:color="auto"/>
            </w:tcBorders>
            <w:shd w:val="clear" w:color="auto" w:fill="auto"/>
            <w:noWrap/>
            <w:vAlign w:val="bottom"/>
            <w:hideMark/>
          </w:tcPr>
          <w:p w14:paraId="0F47814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367C6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564F0A1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143785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46D575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22BD92A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037AA87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Jiný doplňkový kapitál</w:t>
            </w:r>
          </w:p>
        </w:tc>
        <w:tc>
          <w:tcPr>
            <w:tcW w:w="567" w:type="dxa"/>
            <w:tcBorders>
              <w:top w:val="nil"/>
              <w:left w:val="nil"/>
              <w:bottom w:val="single" w:sz="4" w:space="0" w:color="auto"/>
              <w:right w:val="single" w:sz="4" w:space="0" w:color="auto"/>
            </w:tcBorders>
            <w:shd w:val="clear" w:color="auto" w:fill="auto"/>
            <w:noWrap/>
            <w:vAlign w:val="bottom"/>
            <w:hideMark/>
          </w:tcPr>
          <w:p w14:paraId="139E37F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R0390</w:t>
            </w:r>
          </w:p>
        </w:tc>
        <w:tc>
          <w:tcPr>
            <w:tcW w:w="1134" w:type="dxa"/>
            <w:tcBorders>
              <w:top w:val="nil"/>
              <w:left w:val="nil"/>
              <w:bottom w:val="single" w:sz="4" w:space="0" w:color="auto"/>
              <w:right w:val="single" w:sz="4" w:space="0" w:color="auto"/>
            </w:tcBorders>
            <w:shd w:val="clear" w:color="auto" w:fill="auto"/>
            <w:noWrap/>
            <w:vAlign w:val="bottom"/>
            <w:hideMark/>
          </w:tcPr>
          <w:p w14:paraId="37D520C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5707F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8BBB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CA6051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81D2FB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4A2895C5"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5DB0939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Doplňkový kapitál celkem</w:t>
            </w:r>
          </w:p>
        </w:tc>
        <w:tc>
          <w:tcPr>
            <w:tcW w:w="567" w:type="dxa"/>
            <w:tcBorders>
              <w:top w:val="nil"/>
              <w:left w:val="nil"/>
              <w:bottom w:val="single" w:sz="4" w:space="0" w:color="auto"/>
              <w:right w:val="single" w:sz="4" w:space="0" w:color="auto"/>
            </w:tcBorders>
            <w:shd w:val="clear" w:color="auto" w:fill="auto"/>
            <w:noWrap/>
            <w:vAlign w:val="bottom"/>
            <w:hideMark/>
          </w:tcPr>
          <w:p w14:paraId="5A1C0B02"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R0400</w:t>
            </w:r>
          </w:p>
        </w:tc>
        <w:tc>
          <w:tcPr>
            <w:tcW w:w="1134" w:type="dxa"/>
            <w:tcBorders>
              <w:top w:val="nil"/>
              <w:left w:val="nil"/>
              <w:bottom w:val="single" w:sz="4" w:space="0" w:color="auto"/>
              <w:right w:val="single" w:sz="4" w:space="0" w:color="auto"/>
            </w:tcBorders>
            <w:shd w:val="clear" w:color="auto" w:fill="auto"/>
            <w:noWrap/>
            <w:vAlign w:val="bottom"/>
            <w:hideMark/>
          </w:tcPr>
          <w:p w14:paraId="00DF3A2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C779C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1597D8A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D5F72B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1BFE7B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92CB660"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120674F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Dostupný a použitelný kapitál</w:t>
            </w:r>
          </w:p>
        </w:tc>
        <w:tc>
          <w:tcPr>
            <w:tcW w:w="567" w:type="dxa"/>
            <w:tcBorders>
              <w:top w:val="nil"/>
              <w:left w:val="nil"/>
              <w:bottom w:val="single" w:sz="4" w:space="0" w:color="auto"/>
              <w:right w:val="single" w:sz="4" w:space="0" w:color="auto"/>
            </w:tcBorders>
            <w:shd w:val="clear" w:color="auto" w:fill="auto"/>
            <w:noWrap/>
            <w:vAlign w:val="bottom"/>
            <w:hideMark/>
          </w:tcPr>
          <w:p w14:paraId="1CC11B3E"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3EDD4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BB0E9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002C4427"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D3F389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D6B51C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D27405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235D697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xml:space="preserve">Celkový dostupný kapitál na krytí </w:t>
            </w:r>
            <w:proofErr w:type="spellStart"/>
            <w:r w:rsidRPr="00F85D46">
              <w:rPr>
                <w:rFonts w:eastAsia="Times New Roman" w:cstheme="minorHAnsi"/>
                <w:color w:val="000000"/>
                <w:sz w:val="14"/>
                <w:szCs w:val="14"/>
                <w:lang w:eastAsia="cs-CZ"/>
              </w:rPr>
              <w:t>solventnostního</w:t>
            </w:r>
            <w:proofErr w:type="spellEnd"/>
            <w:r w:rsidRPr="00F85D46">
              <w:rPr>
                <w:rFonts w:eastAsia="Times New Roman" w:cstheme="minorHAnsi"/>
                <w:color w:val="000000"/>
                <w:sz w:val="14"/>
                <w:szCs w:val="14"/>
                <w:lang w:eastAsia="cs-CZ"/>
              </w:rPr>
              <w:t xml:space="preserve"> kapitálového požadavku (SCR)</w:t>
            </w:r>
          </w:p>
        </w:tc>
        <w:tc>
          <w:tcPr>
            <w:tcW w:w="567" w:type="dxa"/>
            <w:tcBorders>
              <w:top w:val="nil"/>
              <w:left w:val="nil"/>
              <w:bottom w:val="single" w:sz="4" w:space="0" w:color="auto"/>
              <w:right w:val="single" w:sz="4" w:space="0" w:color="auto"/>
            </w:tcBorders>
            <w:shd w:val="clear" w:color="auto" w:fill="auto"/>
            <w:noWrap/>
            <w:vAlign w:val="bottom"/>
            <w:hideMark/>
          </w:tcPr>
          <w:p w14:paraId="51A436AD"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R0500</w:t>
            </w:r>
          </w:p>
        </w:tc>
        <w:tc>
          <w:tcPr>
            <w:tcW w:w="1134" w:type="dxa"/>
            <w:tcBorders>
              <w:top w:val="nil"/>
              <w:left w:val="nil"/>
              <w:bottom w:val="single" w:sz="4" w:space="0" w:color="auto"/>
              <w:right w:val="single" w:sz="4" w:space="0" w:color="auto"/>
            </w:tcBorders>
            <w:shd w:val="clear" w:color="auto" w:fill="auto"/>
            <w:noWrap/>
            <w:vAlign w:val="bottom"/>
            <w:hideMark/>
          </w:tcPr>
          <w:p w14:paraId="23D25E0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1276" w:type="dxa"/>
            <w:tcBorders>
              <w:top w:val="nil"/>
              <w:left w:val="nil"/>
              <w:bottom w:val="single" w:sz="4" w:space="0" w:color="auto"/>
              <w:right w:val="single" w:sz="4" w:space="0" w:color="auto"/>
            </w:tcBorders>
            <w:shd w:val="clear" w:color="auto" w:fill="auto"/>
            <w:noWrap/>
            <w:vAlign w:val="bottom"/>
            <w:hideMark/>
          </w:tcPr>
          <w:p w14:paraId="586DB11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850" w:type="dxa"/>
            <w:tcBorders>
              <w:top w:val="nil"/>
              <w:left w:val="nil"/>
              <w:bottom w:val="single" w:sz="4" w:space="0" w:color="auto"/>
              <w:right w:val="single" w:sz="4" w:space="0" w:color="auto"/>
            </w:tcBorders>
            <w:shd w:val="clear" w:color="auto" w:fill="auto"/>
            <w:noWrap/>
            <w:vAlign w:val="bottom"/>
            <w:hideMark/>
          </w:tcPr>
          <w:p w14:paraId="0330BAC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F7AD0F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5B0728D"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1D6FA8D"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65DC67D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Celkový dostupný kapitál na krytí minimálního kapitálového požadavku (MCR)</w:t>
            </w:r>
          </w:p>
        </w:tc>
        <w:tc>
          <w:tcPr>
            <w:tcW w:w="567" w:type="dxa"/>
            <w:tcBorders>
              <w:top w:val="nil"/>
              <w:left w:val="nil"/>
              <w:bottom w:val="single" w:sz="4" w:space="0" w:color="auto"/>
              <w:right w:val="single" w:sz="4" w:space="0" w:color="auto"/>
            </w:tcBorders>
            <w:shd w:val="clear" w:color="auto" w:fill="auto"/>
            <w:noWrap/>
            <w:vAlign w:val="bottom"/>
            <w:hideMark/>
          </w:tcPr>
          <w:p w14:paraId="5389080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R0510</w:t>
            </w:r>
          </w:p>
        </w:tc>
        <w:tc>
          <w:tcPr>
            <w:tcW w:w="1134" w:type="dxa"/>
            <w:tcBorders>
              <w:top w:val="nil"/>
              <w:left w:val="nil"/>
              <w:bottom w:val="single" w:sz="4" w:space="0" w:color="auto"/>
              <w:right w:val="single" w:sz="4" w:space="0" w:color="auto"/>
            </w:tcBorders>
            <w:shd w:val="clear" w:color="auto" w:fill="auto"/>
            <w:noWrap/>
            <w:vAlign w:val="bottom"/>
            <w:hideMark/>
          </w:tcPr>
          <w:p w14:paraId="4B05318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1276" w:type="dxa"/>
            <w:tcBorders>
              <w:top w:val="nil"/>
              <w:left w:val="nil"/>
              <w:bottom w:val="single" w:sz="4" w:space="0" w:color="auto"/>
              <w:right w:val="single" w:sz="4" w:space="0" w:color="auto"/>
            </w:tcBorders>
            <w:shd w:val="clear" w:color="auto" w:fill="auto"/>
            <w:noWrap/>
            <w:vAlign w:val="bottom"/>
            <w:hideMark/>
          </w:tcPr>
          <w:p w14:paraId="214B05F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850" w:type="dxa"/>
            <w:tcBorders>
              <w:top w:val="nil"/>
              <w:left w:val="nil"/>
              <w:bottom w:val="single" w:sz="4" w:space="0" w:color="auto"/>
              <w:right w:val="single" w:sz="4" w:space="0" w:color="auto"/>
            </w:tcBorders>
            <w:shd w:val="clear" w:color="auto" w:fill="auto"/>
            <w:noWrap/>
            <w:vAlign w:val="bottom"/>
            <w:hideMark/>
          </w:tcPr>
          <w:p w14:paraId="563034A9"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2611B2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25A6B6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0773432"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F56CC8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xml:space="preserve">Celkový použitelný kapitál na krytí </w:t>
            </w:r>
            <w:proofErr w:type="spellStart"/>
            <w:r w:rsidRPr="00F85D46">
              <w:rPr>
                <w:rFonts w:eastAsia="Times New Roman" w:cstheme="minorHAnsi"/>
                <w:color w:val="000000"/>
                <w:sz w:val="14"/>
                <w:szCs w:val="14"/>
                <w:lang w:eastAsia="cs-CZ"/>
              </w:rPr>
              <w:t>solventnostního</w:t>
            </w:r>
            <w:proofErr w:type="spellEnd"/>
            <w:r w:rsidRPr="00F85D46">
              <w:rPr>
                <w:rFonts w:eastAsia="Times New Roman" w:cstheme="minorHAnsi"/>
                <w:color w:val="000000"/>
                <w:sz w:val="14"/>
                <w:szCs w:val="14"/>
                <w:lang w:eastAsia="cs-CZ"/>
              </w:rPr>
              <w:t xml:space="preserve"> kapitálového požadavku (SCR)</w:t>
            </w:r>
          </w:p>
        </w:tc>
        <w:tc>
          <w:tcPr>
            <w:tcW w:w="567" w:type="dxa"/>
            <w:tcBorders>
              <w:top w:val="nil"/>
              <w:left w:val="nil"/>
              <w:bottom w:val="single" w:sz="4" w:space="0" w:color="auto"/>
              <w:right w:val="single" w:sz="4" w:space="0" w:color="auto"/>
            </w:tcBorders>
            <w:shd w:val="clear" w:color="auto" w:fill="auto"/>
            <w:noWrap/>
            <w:vAlign w:val="bottom"/>
            <w:hideMark/>
          </w:tcPr>
          <w:p w14:paraId="7FF1916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R0540</w:t>
            </w:r>
          </w:p>
        </w:tc>
        <w:tc>
          <w:tcPr>
            <w:tcW w:w="1134" w:type="dxa"/>
            <w:tcBorders>
              <w:top w:val="nil"/>
              <w:left w:val="nil"/>
              <w:bottom w:val="single" w:sz="4" w:space="0" w:color="auto"/>
              <w:right w:val="single" w:sz="4" w:space="0" w:color="auto"/>
            </w:tcBorders>
            <w:shd w:val="clear" w:color="auto" w:fill="auto"/>
            <w:noWrap/>
            <w:vAlign w:val="bottom"/>
            <w:hideMark/>
          </w:tcPr>
          <w:p w14:paraId="7163793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140947890.36</w:t>
            </w:r>
          </w:p>
        </w:tc>
        <w:tc>
          <w:tcPr>
            <w:tcW w:w="1276" w:type="dxa"/>
            <w:tcBorders>
              <w:top w:val="nil"/>
              <w:left w:val="nil"/>
              <w:bottom w:val="single" w:sz="4" w:space="0" w:color="auto"/>
              <w:right w:val="single" w:sz="4" w:space="0" w:color="auto"/>
            </w:tcBorders>
            <w:shd w:val="clear" w:color="auto" w:fill="auto"/>
            <w:noWrap/>
            <w:vAlign w:val="bottom"/>
            <w:hideMark/>
          </w:tcPr>
          <w:p w14:paraId="102D8BA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850" w:type="dxa"/>
            <w:tcBorders>
              <w:top w:val="nil"/>
              <w:left w:val="nil"/>
              <w:bottom w:val="single" w:sz="4" w:space="0" w:color="auto"/>
              <w:right w:val="single" w:sz="4" w:space="0" w:color="auto"/>
            </w:tcBorders>
            <w:shd w:val="clear" w:color="auto" w:fill="auto"/>
            <w:noWrap/>
            <w:vAlign w:val="bottom"/>
            <w:hideMark/>
          </w:tcPr>
          <w:p w14:paraId="3E5304F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1F36C2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287D80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7AA02C51"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281A501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Celkový použitelný kapitál na krytí minimálního kapitálového požadavku (MCR)</w:t>
            </w:r>
          </w:p>
        </w:tc>
        <w:tc>
          <w:tcPr>
            <w:tcW w:w="567" w:type="dxa"/>
            <w:tcBorders>
              <w:top w:val="nil"/>
              <w:left w:val="nil"/>
              <w:bottom w:val="single" w:sz="4" w:space="0" w:color="auto"/>
              <w:right w:val="single" w:sz="4" w:space="0" w:color="auto"/>
            </w:tcBorders>
            <w:shd w:val="clear" w:color="auto" w:fill="auto"/>
            <w:noWrap/>
            <w:vAlign w:val="bottom"/>
            <w:hideMark/>
          </w:tcPr>
          <w:p w14:paraId="147F2174"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R0550</w:t>
            </w:r>
          </w:p>
        </w:tc>
        <w:tc>
          <w:tcPr>
            <w:tcW w:w="1134" w:type="dxa"/>
            <w:tcBorders>
              <w:top w:val="nil"/>
              <w:left w:val="nil"/>
              <w:bottom w:val="single" w:sz="4" w:space="0" w:color="auto"/>
              <w:right w:val="single" w:sz="4" w:space="0" w:color="auto"/>
            </w:tcBorders>
            <w:shd w:val="clear" w:color="auto" w:fill="auto"/>
            <w:noWrap/>
            <w:vAlign w:val="bottom"/>
            <w:hideMark/>
          </w:tcPr>
          <w:p w14:paraId="6C33213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140947890.36</w:t>
            </w:r>
          </w:p>
        </w:tc>
        <w:tc>
          <w:tcPr>
            <w:tcW w:w="1276" w:type="dxa"/>
            <w:tcBorders>
              <w:top w:val="nil"/>
              <w:left w:val="nil"/>
              <w:bottom w:val="single" w:sz="4" w:space="0" w:color="auto"/>
              <w:right w:val="single" w:sz="4" w:space="0" w:color="auto"/>
            </w:tcBorders>
            <w:shd w:val="clear" w:color="auto" w:fill="auto"/>
            <w:noWrap/>
            <w:vAlign w:val="bottom"/>
            <w:hideMark/>
          </w:tcPr>
          <w:p w14:paraId="008E8FD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140 947 890</w:t>
            </w:r>
          </w:p>
        </w:tc>
        <w:tc>
          <w:tcPr>
            <w:tcW w:w="850" w:type="dxa"/>
            <w:tcBorders>
              <w:top w:val="nil"/>
              <w:left w:val="nil"/>
              <w:bottom w:val="single" w:sz="4" w:space="0" w:color="auto"/>
              <w:right w:val="single" w:sz="4" w:space="0" w:color="auto"/>
            </w:tcBorders>
            <w:shd w:val="clear" w:color="auto" w:fill="auto"/>
            <w:noWrap/>
            <w:vAlign w:val="bottom"/>
            <w:hideMark/>
          </w:tcPr>
          <w:p w14:paraId="783179A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D16001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00E9612"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5009C8E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6DD12253" w14:textId="77777777" w:rsidR="00F85D46" w:rsidRPr="00F85D46" w:rsidRDefault="00F85D46" w:rsidP="00F85D46">
            <w:pPr>
              <w:spacing w:after="0" w:line="240" w:lineRule="auto"/>
              <w:rPr>
                <w:rFonts w:eastAsia="Times New Roman" w:cstheme="minorHAnsi"/>
                <w:color w:val="000000"/>
                <w:sz w:val="14"/>
                <w:szCs w:val="14"/>
                <w:lang w:eastAsia="cs-CZ"/>
              </w:rPr>
            </w:pPr>
            <w:proofErr w:type="spellStart"/>
            <w:r w:rsidRPr="00F85D46">
              <w:rPr>
                <w:rFonts w:eastAsia="Times New Roman" w:cstheme="minorHAnsi"/>
                <w:color w:val="000000"/>
                <w:sz w:val="14"/>
                <w:szCs w:val="14"/>
                <w:lang w:eastAsia="cs-CZ"/>
              </w:rPr>
              <w:t>Solventnostní</w:t>
            </w:r>
            <w:proofErr w:type="spellEnd"/>
            <w:r w:rsidRPr="00F85D46">
              <w:rPr>
                <w:rFonts w:eastAsia="Times New Roman" w:cstheme="minorHAnsi"/>
                <w:color w:val="000000"/>
                <w:sz w:val="14"/>
                <w:szCs w:val="14"/>
                <w:lang w:eastAsia="cs-CZ"/>
              </w:rPr>
              <w:t xml:space="preserve"> kapitálový požadavek (SCR)</w:t>
            </w:r>
          </w:p>
        </w:tc>
        <w:tc>
          <w:tcPr>
            <w:tcW w:w="567" w:type="dxa"/>
            <w:tcBorders>
              <w:top w:val="nil"/>
              <w:left w:val="nil"/>
              <w:bottom w:val="single" w:sz="4" w:space="0" w:color="auto"/>
              <w:right w:val="single" w:sz="4" w:space="0" w:color="auto"/>
            </w:tcBorders>
            <w:shd w:val="clear" w:color="auto" w:fill="auto"/>
            <w:noWrap/>
            <w:vAlign w:val="bottom"/>
            <w:hideMark/>
          </w:tcPr>
          <w:p w14:paraId="0B1EB095"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R0580</w:t>
            </w:r>
          </w:p>
        </w:tc>
        <w:tc>
          <w:tcPr>
            <w:tcW w:w="1134" w:type="dxa"/>
            <w:tcBorders>
              <w:top w:val="nil"/>
              <w:left w:val="nil"/>
              <w:bottom w:val="single" w:sz="4" w:space="0" w:color="auto"/>
              <w:right w:val="single" w:sz="4" w:space="0" w:color="auto"/>
            </w:tcBorders>
            <w:shd w:val="clear" w:color="auto" w:fill="auto"/>
            <w:noWrap/>
            <w:vAlign w:val="bottom"/>
            <w:hideMark/>
          </w:tcPr>
          <w:p w14:paraId="3369034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14100047.93</w:t>
            </w:r>
          </w:p>
        </w:tc>
        <w:tc>
          <w:tcPr>
            <w:tcW w:w="1276" w:type="dxa"/>
            <w:tcBorders>
              <w:top w:val="nil"/>
              <w:left w:val="nil"/>
              <w:bottom w:val="single" w:sz="4" w:space="0" w:color="auto"/>
              <w:right w:val="single" w:sz="4" w:space="0" w:color="auto"/>
            </w:tcBorders>
            <w:shd w:val="clear" w:color="auto" w:fill="auto"/>
            <w:noWrap/>
            <w:vAlign w:val="bottom"/>
            <w:hideMark/>
          </w:tcPr>
          <w:p w14:paraId="5EB032C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14 100 048</w:t>
            </w:r>
          </w:p>
        </w:tc>
        <w:tc>
          <w:tcPr>
            <w:tcW w:w="850" w:type="dxa"/>
            <w:tcBorders>
              <w:top w:val="nil"/>
              <w:left w:val="nil"/>
              <w:bottom w:val="single" w:sz="4" w:space="0" w:color="auto"/>
              <w:right w:val="single" w:sz="4" w:space="0" w:color="auto"/>
            </w:tcBorders>
            <w:shd w:val="clear" w:color="auto" w:fill="auto"/>
            <w:noWrap/>
            <w:vAlign w:val="bottom"/>
            <w:hideMark/>
          </w:tcPr>
          <w:p w14:paraId="2899EB8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3ED0943"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7890EC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03CB98CC"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226D3E7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Minimální kapitálový požadavek (MCR)</w:t>
            </w:r>
          </w:p>
        </w:tc>
        <w:tc>
          <w:tcPr>
            <w:tcW w:w="567" w:type="dxa"/>
            <w:tcBorders>
              <w:top w:val="nil"/>
              <w:left w:val="nil"/>
              <w:bottom w:val="single" w:sz="4" w:space="0" w:color="auto"/>
              <w:right w:val="single" w:sz="4" w:space="0" w:color="auto"/>
            </w:tcBorders>
            <w:shd w:val="clear" w:color="auto" w:fill="auto"/>
            <w:noWrap/>
            <w:vAlign w:val="bottom"/>
            <w:hideMark/>
          </w:tcPr>
          <w:p w14:paraId="5402B220"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R0600</w:t>
            </w:r>
          </w:p>
        </w:tc>
        <w:tc>
          <w:tcPr>
            <w:tcW w:w="1134" w:type="dxa"/>
            <w:tcBorders>
              <w:top w:val="nil"/>
              <w:left w:val="nil"/>
              <w:bottom w:val="single" w:sz="4" w:space="0" w:color="auto"/>
              <w:right w:val="single" w:sz="4" w:space="0" w:color="auto"/>
            </w:tcBorders>
            <w:shd w:val="clear" w:color="auto" w:fill="auto"/>
            <w:noWrap/>
            <w:vAlign w:val="bottom"/>
            <w:hideMark/>
          </w:tcPr>
          <w:p w14:paraId="06784D5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65612500.00</w:t>
            </w:r>
          </w:p>
        </w:tc>
        <w:tc>
          <w:tcPr>
            <w:tcW w:w="1276" w:type="dxa"/>
            <w:tcBorders>
              <w:top w:val="nil"/>
              <w:left w:val="nil"/>
              <w:bottom w:val="single" w:sz="4" w:space="0" w:color="auto"/>
              <w:right w:val="single" w:sz="4" w:space="0" w:color="auto"/>
            </w:tcBorders>
            <w:shd w:val="clear" w:color="auto" w:fill="auto"/>
            <w:noWrap/>
            <w:vAlign w:val="bottom"/>
            <w:hideMark/>
          </w:tcPr>
          <w:p w14:paraId="503CDD86"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65 612 500</w:t>
            </w:r>
          </w:p>
        </w:tc>
        <w:tc>
          <w:tcPr>
            <w:tcW w:w="850" w:type="dxa"/>
            <w:tcBorders>
              <w:top w:val="nil"/>
              <w:left w:val="nil"/>
              <w:bottom w:val="single" w:sz="4" w:space="0" w:color="auto"/>
              <w:right w:val="single" w:sz="4" w:space="0" w:color="auto"/>
            </w:tcBorders>
            <w:shd w:val="clear" w:color="auto" w:fill="auto"/>
            <w:noWrap/>
            <w:vAlign w:val="bottom"/>
            <w:hideMark/>
          </w:tcPr>
          <w:p w14:paraId="4A0B375E"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B57FB40"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94E818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337F45F1"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4B1768B"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xml:space="preserve">Poměr použitelného kapitálu k </w:t>
            </w:r>
            <w:proofErr w:type="spellStart"/>
            <w:r w:rsidRPr="00F85D46">
              <w:rPr>
                <w:rFonts w:eastAsia="Times New Roman" w:cstheme="minorHAnsi"/>
                <w:color w:val="000000"/>
                <w:sz w:val="14"/>
                <w:szCs w:val="14"/>
                <w:lang w:eastAsia="cs-CZ"/>
              </w:rPr>
              <w:t>solventnostnímu</w:t>
            </w:r>
            <w:proofErr w:type="spellEnd"/>
            <w:r w:rsidRPr="00F85D46">
              <w:rPr>
                <w:rFonts w:eastAsia="Times New Roman" w:cstheme="minorHAnsi"/>
                <w:color w:val="000000"/>
                <w:sz w:val="14"/>
                <w:szCs w:val="14"/>
                <w:lang w:eastAsia="cs-CZ"/>
              </w:rPr>
              <w:t xml:space="preserve"> kapitálovému požadavku</w:t>
            </w:r>
          </w:p>
        </w:tc>
        <w:tc>
          <w:tcPr>
            <w:tcW w:w="567" w:type="dxa"/>
            <w:tcBorders>
              <w:top w:val="nil"/>
              <w:left w:val="nil"/>
              <w:bottom w:val="single" w:sz="4" w:space="0" w:color="auto"/>
              <w:right w:val="single" w:sz="4" w:space="0" w:color="auto"/>
            </w:tcBorders>
            <w:shd w:val="clear" w:color="auto" w:fill="auto"/>
            <w:noWrap/>
            <w:vAlign w:val="bottom"/>
            <w:hideMark/>
          </w:tcPr>
          <w:p w14:paraId="171D8153"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R0620</w:t>
            </w:r>
          </w:p>
        </w:tc>
        <w:tc>
          <w:tcPr>
            <w:tcW w:w="1134" w:type="dxa"/>
            <w:tcBorders>
              <w:top w:val="nil"/>
              <w:left w:val="nil"/>
              <w:bottom w:val="single" w:sz="4" w:space="0" w:color="auto"/>
              <w:right w:val="single" w:sz="4" w:space="0" w:color="auto"/>
            </w:tcBorders>
            <w:shd w:val="clear" w:color="auto" w:fill="auto"/>
            <w:noWrap/>
            <w:vAlign w:val="bottom"/>
            <w:hideMark/>
          </w:tcPr>
          <w:p w14:paraId="61F703EC"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9,996270301</w:t>
            </w:r>
          </w:p>
        </w:tc>
        <w:tc>
          <w:tcPr>
            <w:tcW w:w="1276" w:type="dxa"/>
            <w:tcBorders>
              <w:top w:val="nil"/>
              <w:left w:val="nil"/>
              <w:bottom w:val="single" w:sz="4" w:space="0" w:color="auto"/>
              <w:right w:val="single" w:sz="4" w:space="0" w:color="auto"/>
            </w:tcBorders>
            <w:shd w:val="clear" w:color="auto" w:fill="auto"/>
            <w:noWrap/>
            <w:vAlign w:val="bottom"/>
            <w:hideMark/>
          </w:tcPr>
          <w:p w14:paraId="5C5E6C7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9,996270301</w:t>
            </w:r>
          </w:p>
        </w:tc>
        <w:tc>
          <w:tcPr>
            <w:tcW w:w="850" w:type="dxa"/>
            <w:tcBorders>
              <w:top w:val="nil"/>
              <w:left w:val="nil"/>
              <w:bottom w:val="single" w:sz="4" w:space="0" w:color="auto"/>
              <w:right w:val="single" w:sz="4" w:space="0" w:color="auto"/>
            </w:tcBorders>
            <w:shd w:val="clear" w:color="auto" w:fill="auto"/>
            <w:noWrap/>
            <w:vAlign w:val="bottom"/>
            <w:hideMark/>
          </w:tcPr>
          <w:p w14:paraId="2D741B7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A4ECFAA"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C819D61"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r w:rsidR="0045411F" w:rsidRPr="007961A0" w14:paraId="629DB5E8" w14:textId="77777777" w:rsidTr="000A34E7">
        <w:tc>
          <w:tcPr>
            <w:tcW w:w="4820" w:type="dxa"/>
            <w:tcBorders>
              <w:top w:val="nil"/>
              <w:left w:val="single" w:sz="4" w:space="0" w:color="auto"/>
              <w:bottom w:val="single" w:sz="4" w:space="0" w:color="auto"/>
              <w:right w:val="single" w:sz="4" w:space="0" w:color="auto"/>
            </w:tcBorders>
            <w:shd w:val="clear" w:color="auto" w:fill="auto"/>
            <w:vAlign w:val="bottom"/>
            <w:hideMark/>
          </w:tcPr>
          <w:p w14:paraId="34AAEEC4"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Poměr použitelného kapitálu k minimálnímu kapitálovému požadavku</w:t>
            </w:r>
          </w:p>
        </w:tc>
        <w:tc>
          <w:tcPr>
            <w:tcW w:w="567" w:type="dxa"/>
            <w:tcBorders>
              <w:top w:val="nil"/>
              <w:left w:val="nil"/>
              <w:bottom w:val="single" w:sz="4" w:space="0" w:color="auto"/>
              <w:right w:val="single" w:sz="4" w:space="0" w:color="auto"/>
            </w:tcBorders>
            <w:shd w:val="clear" w:color="auto" w:fill="auto"/>
            <w:noWrap/>
            <w:vAlign w:val="bottom"/>
            <w:hideMark/>
          </w:tcPr>
          <w:p w14:paraId="1C96A23B" w14:textId="77777777" w:rsidR="00F85D46" w:rsidRPr="00F85D46" w:rsidRDefault="00F85D46" w:rsidP="00F85D46">
            <w:pPr>
              <w:spacing w:after="0" w:line="240" w:lineRule="auto"/>
              <w:jc w:val="center"/>
              <w:rPr>
                <w:rFonts w:eastAsia="Times New Roman" w:cstheme="minorHAnsi"/>
                <w:color w:val="000000"/>
                <w:sz w:val="14"/>
                <w:szCs w:val="14"/>
                <w:lang w:eastAsia="cs-CZ"/>
              </w:rPr>
            </w:pPr>
            <w:r w:rsidRPr="00F85D46">
              <w:rPr>
                <w:rFonts w:eastAsia="Times New Roman" w:cstheme="minorHAnsi"/>
                <w:color w:val="000000"/>
                <w:sz w:val="14"/>
                <w:szCs w:val="14"/>
                <w:lang w:eastAsia="cs-CZ"/>
              </w:rPr>
              <w:t>R0640</w:t>
            </w:r>
          </w:p>
        </w:tc>
        <w:tc>
          <w:tcPr>
            <w:tcW w:w="1134" w:type="dxa"/>
            <w:tcBorders>
              <w:top w:val="nil"/>
              <w:left w:val="nil"/>
              <w:bottom w:val="single" w:sz="4" w:space="0" w:color="auto"/>
              <w:right w:val="single" w:sz="4" w:space="0" w:color="auto"/>
            </w:tcBorders>
            <w:shd w:val="clear" w:color="auto" w:fill="auto"/>
            <w:noWrap/>
            <w:vAlign w:val="bottom"/>
            <w:hideMark/>
          </w:tcPr>
          <w:p w14:paraId="59DA80C8"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2,148186555</w:t>
            </w:r>
          </w:p>
        </w:tc>
        <w:tc>
          <w:tcPr>
            <w:tcW w:w="1276" w:type="dxa"/>
            <w:tcBorders>
              <w:top w:val="nil"/>
              <w:left w:val="nil"/>
              <w:bottom w:val="single" w:sz="4" w:space="0" w:color="auto"/>
              <w:right w:val="single" w:sz="4" w:space="0" w:color="auto"/>
            </w:tcBorders>
            <w:shd w:val="clear" w:color="auto" w:fill="auto"/>
            <w:noWrap/>
            <w:vAlign w:val="bottom"/>
            <w:hideMark/>
          </w:tcPr>
          <w:p w14:paraId="2E8B603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2,148186555</w:t>
            </w:r>
          </w:p>
        </w:tc>
        <w:tc>
          <w:tcPr>
            <w:tcW w:w="850" w:type="dxa"/>
            <w:tcBorders>
              <w:top w:val="nil"/>
              <w:left w:val="nil"/>
              <w:bottom w:val="single" w:sz="4" w:space="0" w:color="auto"/>
              <w:right w:val="single" w:sz="4" w:space="0" w:color="auto"/>
            </w:tcBorders>
            <w:shd w:val="clear" w:color="auto" w:fill="auto"/>
            <w:noWrap/>
            <w:vAlign w:val="bottom"/>
            <w:hideMark/>
          </w:tcPr>
          <w:p w14:paraId="33F6AC2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936C795"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593652F" w14:textId="77777777" w:rsidR="00F85D46" w:rsidRPr="00F85D46" w:rsidRDefault="00F85D46" w:rsidP="00F85D46">
            <w:pPr>
              <w:spacing w:after="0" w:line="240" w:lineRule="auto"/>
              <w:rPr>
                <w:rFonts w:eastAsia="Times New Roman" w:cstheme="minorHAnsi"/>
                <w:color w:val="000000"/>
                <w:sz w:val="14"/>
                <w:szCs w:val="14"/>
                <w:lang w:eastAsia="cs-CZ"/>
              </w:rPr>
            </w:pPr>
            <w:r w:rsidRPr="00F85D46">
              <w:rPr>
                <w:rFonts w:eastAsia="Times New Roman" w:cstheme="minorHAnsi"/>
                <w:color w:val="000000"/>
                <w:sz w:val="14"/>
                <w:szCs w:val="14"/>
                <w:lang w:eastAsia="cs-CZ"/>
              </w:rPr>
              <w:t> </w:t>
            </w:r>
          </w:p>
        </w:tc>
      </w:tr>
    </w:tbl>
    <w:p w14:paraId="499F7994" w14:textId="77777777" w:rsidR="004A24CB" w:rsidRDefault="004A24CB" w:rsidP="00FA5B54"/>
    <w:tbl>
      <w:tblPr>
        <w:tblpPr w:leftFromText="141" w:rightFromText="141" w:vertAnchor="text" w:tblpY="1"/>
        <w:tblOverlap w:val="never"/>
        <w:tblW w:w="7230" w:type="dxa"/>
        <w:tblCellMar>
          <w:left w:w="70" w:type="dxa"/>
          <w:right w:w="70" w:type="dxa"/>
        </w:tblCellMar>
        <w:tblLook w:val="04A0" w:firstRow="1" w:lastRow="0" w:firstColumn="1" w:lastColumn="0" w:noHBand="0" w:noVBand="1"/>
      </w:tblPr>
      <w:tblGrid>
        <w:gridCol w:w="5217"/>
        <w:gridCol w:w="737"/>
        <w:gridCol w:w="1276"/>
      </w:tblGrid>
      <w:tr w:rsidR="00C95CEE" w:rsidRPr="007961A0" w14:paraId="4144DDD1" w14:textId="77777777" w:rsidTr="00C95CEE">
        <w:tc>
          <w:tcPr>
            <w:tcW w:w="5217" w:type="dxa"/>
            <w:tcBorders>
              <w:top w:val="nil"/>
              <w:left w:val="nil"/>
              <w:bottom w:val="nil"/>
              <w:right w:val="nil"/>
            </w:tcBorders>
            <w:shd w:val="clear" w:color="auto" w:fill="auto"/>
            <w:noWrap/>
            <w:vAlign w:val="bottom"/>
            <w:hideMark/>
          </w:tcPr>
          <w:p w14:paraId="4B08076C" w14:textId="77777777" w:rsidR="00DE0D8D" w:rsidRPr="00DE0D8D" w:rsidRDefault="00DE0D8D" w:rsidP="00C95CEE">
            <w:pPr>
              <w:spacing w:after="0" w:line="240" w:lineRule="auto"/>
              <w:rPr>
                <w:rFonts w:ascii="Times New Roman" w:eastAsia="Times New Roman" w:hAnsi="Times New Roman" w:cs="Times New Roman"/>
                <w:sz w:val="14"/>
                <w:szCs w:val="14"/>
                <w:lang w:eastAsia="cs-CZ"/>
              </w:rPr>
            </w:pPr>
          </w:p>
        </w:tc>
        <w:tc>
          <w:tcPr>
            <w:tcW w:w="737" w:type="dxa"/>
            <w:tcBorders>
              <w:top w:val="nil"/>
              <w:left w:val="nil"/>
              <w:bottom w:val="nil"/>
              <w:right w:val="nil"/>
            </w:tcBorders>
            <w:shd w:val="clear" w:color="auto" w:fill="auto"/>
            <w:noWrap/>
            <w:vAlign w:val="bottom"/>
            <w:hideMark/>
          </w:tcPr>
          <w:p w14:paraId="0E11870A" w14:textId="77777777" w:rsidR="00DE0D8D" w:rsidRPr="00DE0D8D" w:rsidRDefault="00DE0D8D" w:rsidP="00C95CEE">
            <w:pPr>
              <w:spacing w:after="0" w:line="240" w:lineRule="auto"/>
              <w:rPr>
                <w:rFonts w:ascii="Times New Roman" w:eastAsia="Times New Roman" w:hAnsi="Times New Roman" w:cs="Times New Roman"/>
                <w:sz w:val="14"/>
                <w:szCs w:val="14"/>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4513"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C0060</w:t>
            </w:r>
          </w:p>
        </w:tc>
      </w:tr>
      <w:tr w:rsidR="00DE0D8D" w:rsidRPr="00DE0D8D" w14:paraId="3D9E533A" w14:textId="77777777" w:rsidTr="00C95CEE">
        <w:tc>
          <w:tcPr>
            <w:tcW w:w="5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74B2"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proofErr w:type="spellStart"/>
            <w:r w:rsidRPr="00DE0D8D">
              <w:rPr>
                <w:rFonts w:ascii="Calibri" w:eastAsia="Times New Roman" w:hAnsi="Calibri" w:cs="Calibri"/>
                <w:color w:val="000000"/>
                <w:sz w:val="14"/>
                <w:szCs w:val="14"/>
                <w:lang w:eastAsia="cs-CZ"/>
              </w:rPr>
              <w:t>Přeceňovací</w:t>
            </w:r>
            <w:proofErr w:type="spellEnd"/>
            <w:r w:rsidRPr="00DE0D8D">
              <w:rPr>
                <w:rFonts w:ascii="Calibri" w:eastAsia="Times New Roman" w:hAnsi="Calibri" w:cs="Calibri"/>
                <w:color w:val="000000"/>
                <w:sz w:val="14"/>
                <w:szCs w:val="14"/>
                <w:lang w:eastAsia="cs-CZ"/>
              </w:rPr>
              <w:t xml:space="preserve"> rezervní fond</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01CF7502"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C884E1"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214CBED0"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7DEBBE58"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Přebytek aktiv nad závazky</w:t>
            </w:r>
          </w:p>
        </w:tc>
        <w:tc>
          <w:tcPr>
            <w:tcW w:w="737" w:type="dxa"/>
            <w:tcBorders>
              <w:top w:val="nil"/>
              <w:left w:val="nil"/>
              <w:bottom w:val="single" w:sz="4" w:space="0" w:color="auto"/>
              <w:right w:val="single" w:sz="4" w:space="0" w:color="auto"/>
            </w:tcBorders>
            <w:shd w:val="clear" w:color="auto" w:fill="auto"/>
            <w:noWrap/>
            <w:vAlign w:val="bottom"/>
            <w:hideMark/>
          </w:tcPr>
          <w:p w14:paraId="57F233D9"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R0700</w:t>
            </w:r>
          </w:p>
        </w:tc>
        <w:tc>
          <w:tcPr>
            <w:tcW w:w="1276" w:type="dxa"/>
            <w:tcBorders>
              <w:top w:val="nil"/>
              <w:left w:val="nil"/>
              <w:bottom w:val="single" w:sz="4" w:space="0" w:color="auto"/>
              <w:right w:val="single" w:sz="4" w:space="0" w:color="auto"/>
            </w:tcBorders>
            <w:shd w:val="clear" w:color="auto" w:fill="auto"/>
            <w:noWrap/>
            <w:vAlign w:val="bottom"/>
            <w:hideMark/>
          </w:tcPr>
          <w:p w14:paraId="01BBEBAB"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140 947 890</w:t>
            </w:r>
          </w:p>
        </w:tc>
      </w:tr>
      <w:tr w:rsidR="00DE0D8D" w:rsidRPr="00DE0D8D" w14:paraId="1A47CA31"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1840F42E"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Vlastní akcie (držené přímo a nepřímo)</w:t>
            </w:r>
          </w:p>
        </w:tc>
        <w:tc>
          <w:tcPr>
            <w:tcW w:w="737" w:type="dxa"/>
            <w:tcBorders>
              <w:top w:val="nil"/>
              <w:left w:val="nil"/>
              <w:bottom w:val="single" w:sz="4" w:space="0" w:color="auto"/>
              <w:right w:val="single" w:sz="4" w:space="0" w:color="auto"/>
            </w:tcBorders>
            <w:shd w:val="clear" w:color="auto" w:fill="auto"/>
            <w:noWrap/>
            <w:vAlign w:val="bottom"/>
            <w:hideMark/>
          </w:tcPr>
          <w:p w14:paraId="0EE43F30"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R0710</w:t>
            </w:r>
          </w:p>
        </w:tc>
        <w:tc>
          <w:tcPr>
            <w:tcW w:w="1276" w:type="dxa"/>
            <w:tcBorders>
              <w:top w:val="nil"/>
              <w:left w:val="nil"/>
              <w:bottom w:val="single" w:sz="4" w:space="0" w:color="auto"/>
              <w:right w:val="single" w:sz="4" w:space="0" w:color="auto"/>
            </w:tcBorders>
            <w:shd w:val="clear" w:color="auto" w:fill="auto"/>
            <w:noWrap/>
            <w:vAlign w:val="bottom"/>
            <w:hideMark/>
          </w:tcPr>
          <w:p w14:paraId="6558C9EF"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5131EF1C"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4F2470A6"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Předvídatelné dividendy, rozdělení výnosů a poplatky</w:t>
            </w:r>
          </w:p>
        </w:tc>
        <w:tc>
          <w:tcPr>
            <w:tcW w:w="737" w:type="dxa"/>
            <w:tcBorders>
              <w:top w:val="nil"/>
              <w:left w:val="nil"/>
              <w:bottom w:val="single" w:sz="4" w:space="0" w:color="auto"/>
              <w:right w:val="single" w:sz="4" w:space="0" w:color="auto"/>
            </w:tcBorders>
            <w:shd w:val="clear" w:color="auto" w:fill="auto"/>
            <w:noWrap/>
            <w:vAlign w:val="bottom"/>
            <w:hideMark/>
          </w:tcPr>
          <w:p w14:paraId="440268A5"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R0720</w:t>
            </w:r>
          </w:p>
        </w:tc>
        <w:tc>
          <w:tcPr>
            <w:tcW w:w="1276" w:type="dxa"/>
            <w:tcBorders>
              <w:top w:val="nil"/>
              <w:left w:val="nil"/>
              <w:bottom w:val="single" w:sz="4" w:space="0" w:color="auto"/>
              <w:right w:val="single" w:sz="4" w:space="0" w:color="auto"/>
            </w:tcBorders>
            <w:shd w:val="clear" w:color="auto" w:fill="auto"/>
            <w:noWrap/>
            <w:vAlign w:val="bottom"/>
            <w:hideMark/>
          </w:tcPr>
          <w:p w14:paraId="2B7561B4"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49E772C5"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03AEF245"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Jiné položky primárního kapitálu</w:t>
            </w:r>
          </w:p>
        </w:tc>
        <w:tc>
          <w:tcPr>
            <w:tcW w:w="737" w:type="dxa"/>
            <w:tcBorders>
              <w:top w:val="nil"/>
              <w:left w:val="nil"/>
              <w:bottom w:val="single" w:sz="4" w:space="0" w:color="auto"/>
              <w:right w:val="single" w:sz="4" w:space="0" w:color="auto"/>
            </w:tcBorders>
            <w:shd w:val="clear" w:color="auto" w:fill="auto"/>
            <w:noWrap/>
            <w:vAlign w:val="bottom"/>
            <w:hideMark/>
          </w:tcPr>
          <w:p w14:paraId="69910686"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R0730</w:t>
            </w:r>
          </w:p>
        </w:tc>
        <w:tc>
          <w:tcPr>
            <w:tcW w:w="1276" w:type="dxa"/>
            <w:tcBorders>
              <w:top w:val="nil"/>
              <w:left w:val="nil"/>
              <w:bottom w:val="single" w:sz="4" w:space="0" w:color="auto"/>
              <w:right w:val="single" w:sz="4" w:space="0" w:color="auto"/>
            </w:tcBorders>
            <w:shd w:val="clear" w:color="auto" w:fill="auto"/>
            <w:noWrap/>
            <w:vAlign w:val="bottom"/>
            <w:hideMark/>
          </w:tcPr>
          <w:p w14:paraId="7BB42B20"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90 932 002</w:t>
            </w:r>
          </w:p>
        </w:tc>
      </w:tr>
      <w:tr w:rsidR="00DE0D8D" w:rsidRPr="00DE0D8D" w14:paraId="78A34F17"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4F2ACB0E"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Úpravy o omezené položky kapitálu ve vztahu k portfoliím vyrovnávací úpravy a účelově vázaným fondům</w:t>
            </w:r>
          </w:p>
        </w:tc>
        <w:tc>
          <w:tcPr>
            <w:tcW w:w="737" w:type="dxa"/>
            <w:tcBorders>
              <w:top w:val="nil"/>
              <w:left w:val="nil"/>
              <w:bottom w:val="single" w:sz="4" w:space="0" w:color="auto"/>
              <w:right w:val="single" w:sz="4" w:space="0" w:color="auto"/>
            </w:tcBorders>
            <w:shd w:val="clear" w:color="auto" w:fill="auto"/>
            <w:noWrap/>
            <w:vAlign w:val="bottom"/>
            <w:hideMark/>
          </w:tcPr>
          <w:p w14:paraId="37BCA99C"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R0740</w:t>
            </w:r>
          </w:p>
        </w:tc>
        <w:tc>
          <w:tcPr>
            <w:tcW w:w="1276" w:type="dxa"/>
            <w:tcBorders>
              <w:top w:val="nil"/>
              <w:left w:val="nil"/>
              <w:bottom w:val="single" w:sz="4" w:space="0" w:color="auto"/>
              <w:right w:val="single" w:sz="4" w:space="0" w:color="auto"/>
            </w:tcBorders>
            <w:shd w:val="clear" w:color="auto" w:fill="auto"/>
            <w:noWrap/>
            <w:vAlign w:val="bottom"/>
            <w:hideMark/>
          </w:tcPr>
          <w:p w14:paraId="5BC39120"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4A391123"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2C1E16B9"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proofErr w:type="spellStart"/>
            <w:r w:rsidRPr="00DE0D8D">
              <w:rPr>
                <w:rFonts w:ascii="Calibri" w:eastAsia="Times New Roman" w:hAnsi="Calibri" w:cs="Calibri"/>
                <w:color w:val="000000"/>
                <w:sz w:val="14"/>
                <w:szCs w:val="14"/>
                <w:lang w:eastAsia="cs-CZ"/>
              </w:rPr>
              <w:t>Přeceňovací</w:t>
            </w:r>
            <w:proofErr w:type="spellEnd"/>
            <w:r w:rsidRPr="00DE0D8D">
              <w:rPr>
                <w:rFonts w:ascii="Calibri" w:eastAsia="Times New Roman" w:hAnsi="Calibri" w:cs="Calibri"/>
                <w:color w:val="000000"/>
                <w:sz w:val="14"/>
                <w:szCs w:val="14"/>
                <w:lang w:eastAsia="cs-CZ"/>
              </w:rPr>
              <w:t xml:space="preserve"> rezervní fond</w:t>
            </w:r>
          </w:p>
        </w:tc>
        <w:tc>
          <w:tcPr>
            <w:tcW w:w="737" w:type="dxa"/>
            <w:tcBorders>
              <w:top w:val="nil"/>
              <w:left w:val="nil"/>
              <w:bottom w:val="single" w:sz="4" w:space="0" w:color="auto"/>
              <w:right w:val="single" w:sz="4" w:space="0" w:color="auto"/>
            </w:tcBorders>
            <w:shd w:val="clear" w:color="auto" w:fill="auto"/>
            <w:noWrap/>
            <w:vAlign w:val="bottom"/>
            <w:hideMark/>
          </w:tcPr>
          <w:p w14:paraId="195A8A4E"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R0760</w:t>
            </w:r>
          </w:p>
        </w:tc>
        <w:tc>
          <w:tcPr>
            <w:tcW w:w="1276" w:type="dxa"/>
            <w:tcBorders>
              <w:top w:val="nil"/>
              <w:left w:val="nil"/>
              <w:bottom w:val="single" w:sz="4" w:space="0" w:color="auto"/>
              <w:right w:val="single" w:sz="4" w:space="0" w:color="auto"/>
            </w:tcBorders>
            <w:shd w:val="clear" w:color="auto" w:fill="auto"/>
            <w:noWrap/>
            <w:vAlign w:val="bottom"/>
            <w:hideMark/>
          </w:tcPr>
          <w:p w14:paraId="417896AC"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50 015 888</w:t>
            </w:r>
          </w:p>
        </w:tc>
      </w:tr>
      <w:tr w:rsidR="00DE0D8D" w:rsidRPr="00DE0D8D" w14:paraId="61756484"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0A533E97"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Očekávané zisky</w:t>
            </w:r>
          </w:p>
        </w:tc>
        <w:tc>
          <w:tcPr>
            <w:tcW w:w="737" w:type="dxa"/>
            <w:tcBorders>
              <w:top w:val="nil"/>
              <w:left w:val="nil"/>
              <w:bottom w:val="single" w:sz="4" w:space="0" w:color="auto"/>
              <w:right w:val="single" w:sz="4" w:space="0" w:color="auto"/>
            </w:tcBorders>
            <w:shd w:val="clear" w:color="auto" w:fill="auto"/>
            <w:noWrap/>
            <w:vAlign w:val="bottom"/>
            <w:hideMark/>
          </w:tcPr>
          <w:p w14:paraId="3694D649"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ED878A"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258CC214"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6F9DFC4F"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Očekávané zisky obsažené v budoucím pojistném (EPIFP) – Životní pojištění</w:t>
            </w:r>
          </w:p>
        </w:tc>
        <w:tc>
          <w:tcPr>
            <w:tcW w:w="737" w:type="dxa"/>
            <w:tcBorders>
              <w:top w:val="nil"/>
              <w:left w:val="nil"/>
              <w:bottom w:val="single" w:sz="4" w:space="0" w:color="auto"/>
              <w:right w:val="single" w:sz="4" w:space="0" w:color="auto"/>
            </w:tcBorders>
            <w:shd w:val="clear" w:color="auto" w:fill="auto"/>
            <w:noWrap/>
            <w:vAlign w:val="bottom"/>
            <w:hideMark/>
          </w:tcPr>
          <w:p w14:paraId="1AE5532B"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R0770</w:t>
            </w:r>
          </w:p>
        </w:tc>
        <w:tc>
          <w:tcPr>
            <w:tcW w:w="1276" w:type="dxa"/>
            <w:tcBorders>
              <w:top w:val="nil"/>
              <w:left w:val="nil"/>
              <w:bottom w:val="single" w:sz="4" w:space="0" w:color="auto"/>
              <w:right w:val="single" w:sz="4" w:space="0" w:color="auto"/>
            </w:tcBorders>
            <w:shd w:val="clear" w:color="auto" w:fill="auto"/>
            <w:noWrap/>
            <w:vAlign w:val="bottom"/>
            <w:hideMark/>
          </w:tcPr>
          <w:p w14:paraId="6AB464D2"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73F90359"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23FE416C" w14:textId="77777777" w:rsidR="00DE0D8D" w:rsidRPr="00DE0D8D" w:rsidRDefault="00DE0D8D" w:rsidP="00C95CEE">
            <w:pPr>
              <w:spacing w:after="0" w:line="240" w:lineRule="auto"/>
              <w:ind w:firstLineChars="100" w:firstLine="140"/>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Očekávané zisky obsažené v budoucím pojistném (EPIFP) – Neživotní pojištění</w:t>
            </w:r>
          </w:p>
        </w:tc>
        <w:tc>
          <w:tcPr>
            <w:tcW w:w="737" w:type="dxa"/>
            <w:tcBorders>
              <w:top w:val="nil"/>
              <w:left w:val="nil"/>
              <w:bottom w:val="single" w:sz="4" w:space="0" w:color="auto"/>
              <w:right w:val="single" w:sz="4" w:space="0" w:color="auto"/>
            </w:tcBorders>
            <w:shd w:val="clear" w:color="auto" w:fill="auto"/>
            <w:noWrap/>
            <w:vAlign w:val="bottom"/>
            <w:hideMark/>
          </w:tcPr>
          <w:p w14:paraId="6C20A300"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R0780</w:t>
            </w:r>
          </w:p>
        </w:tc>
        <w:tc>
          <w:tcPr>
            <w:tcW w:w="1276" w:type="dxa"/>
            <w:tcBorders>
              <w:top w:val="nil"/>
              <w:left w:val="nil"/>
              <w:bottom w:val="single" w:sz="4" w:space="0" w:color="auto"/>
              <w:right w:val="single" w:sz="4" w:space="0" w:color="auto"/>
            </w:tcBorders>
            <w:shd w:val="clear" w:color="auto" w:fill="auto"/>
            <w:noWrap/>
            <w:vAlign w:val="bottom"/>
            <w:hideMark/>
          </w:tcPr>
          <w:p w14:paraId="3B1A1DE1"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r w:rsidR="00DE0D8D" w:rsidRPr="00DE0D8D" w14:paraId="7E1FC149" w14:textId="77777777" w:rsidTr="00C95CEE">
        <w:tc>
          <w:tcPr>
            <w:tcW w:w="5217" w:type="dxa"/>
            <w:tcBorders>
              <w:top w:val="nil"/>
              <w:left w:val="single" w:sz="4" w:space="0" w:color="auto"/>
              <w:bottom w:val="single" w:sz="4" w:space="0" w:color="auto"/>
              <w:right w:val="single" w:sz="4" w:space="0" w:color="auto"/>
            </w:tcBorders>
            <w:shd w:val="clear" w:color="auto" w:fill="auto"/>
            <w:noWrap/>
            <w:vAlign w:val="bottom"/>
            <w:hideMark/>
          </w:tcPr>
          <w:p w14:paraId="33025988"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Očekávané zisky obsažené v budoucím pojistném (EPIFP) celkem</w:t>
            </w:r>
          </w:p>
        </w:tc>
        <w:tc>
          <w:tcPr>
            <w:tcW w:w="737" w:type="dxa"/>
            <w:tcBorders>
              <w:top w:val="nil"/>
              <w:left w:val="nil"/>
              <w:bottom w:val="single" w:sz="4" w:space="0" w:color="auto"/>
              <w:right w:val="single" w:sz="4" w:space="0" w:color="auto"/>
            </w:tcBorders>
            <w:shd w:val="clear" w:color="auto" w:fill="auto"/>
            <w:noWrap/>
            <w:vAlign w:val="bottom"/>
            <w:hideMark/>
          </w:tcPr>
          <w:p w14:paraId="7C3174F8" w14:textId="77777777" w:rsidR="00DE0D8D" w:rsidRPr="00DE0D8D" w:rsidRDefault="00DE0D8D" w:rsidP="00C95CEE">
            <w:pPr>
              <w:spacing w:after="0" w:line="240" w:lineRule="auto"/>
              <w:jc w:val="center"/>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R0790</w:t>
            </w:r>
          </w:p>
        </w:tc>
        <w:tc>
          <w:tcPr>
            <w:tcW w:w="1276" w:type="dxa"/>
            <w:tcBorders>
              <w:top w:val="nil"/>
              <w:left w:val="nil"/>
              <w:bottom w:val="single" w:sz="4" w:space="0" w:color="auto"/>
              <w:right w:val="single" w:sz="4" w:space="0" w:color="auto"/>
            </w:tcBorders>
            <w:shd w:val="clear" w:color="auto" w:fill="auto"/>
            <w:noWrap/>
            <w:vAlign w:val="bottom"/>
            <w:hideMark/>
          </w:tcPr>
          <w:p w14:paraId="106141A3" w14:textId="77777777" w:rsidR="00DE0D8D" w:rsidRPr="00DE0D8D" w:rsidRDefault="00DE0D8D" w:rsidP="00C95CEE">
            <w:pPr>
              <w:spacing w:after="0" w:line="240" w:lineRule="auto"/>
              <w:rPr>
                <w:rFonts w:ascii="Calibri" w:eastAsia="Times New Roman" w:hAnsi="Calibri" w:cs="Calibri"/>
                <w:color w:val="000000"/>
                <w:sz w:val="14"/>
                <w:szCs w:val="14"/>
                <w:lang w:eastAsia="cs-CZ"/>
              </w:rPr>
            </w:pPr>
            <w:r w:rsidRPr="00DE0D8D">
              <w:rPr>
                <w:rFonts w:ascii="Calibri" w:eastAsia="Times New Roman" w:hAnsi="Calibri" w:cs="Calibri"/>
                <w:color w:val="000000"/>
                <w:sz w:val="14"/>
                <w:szCs w:val="14"/>
                <w:lang w:eastAsia="cs-CZ"/>
              </w:rPr>
              <w:t> </w:t>
            </w:r>
          </w:p>
        </w:tc>
      </w:tr>
    </w:tbl>
    <w:p w14:paraId="39EAF530" w14:textId="77777777" w:rsidR="00C95CEE" w:rsidRDefault="00C95CEE" w:rsidP="00FA5B54"/>
    <w:p w14:paraId="260C5516" w14:textId="77777777" w:rsidR="00C95CEE" w:rsidRPr="00C95CEE" w:rsidRDefault="00C95CEE" w:rsidP="00C95CEE"/>
    <w:p w14:paraId="3AF22B4F" w14:textId="77777777" w:rsidR="00C95CEE" w:rsidRDefault="00C95CEE" w:rsidP="00FA5B54"/>
    <w:p w14:paraId="76EDD127" w14:textId="77745754" w:rsidR="00FA5B54" w:rsidRDefault="00C95CEE" w:rsidP="00C95CEE">
      <w:pPr>
        <w:tabs>
          <w:tab w:val="center" w:pos="848"/>
        </w:tabs>
      </w:pPr>
      <w:r>
        <w:tab/>
      </w:r>
      <w:r>
        <w:br w:type="textWrapping" w:clear="all"/>
      </w:r>
    </w:p>
    <w:p w14:paraId="12F1AC43" w14:textId="1D85431F" w:rsidR="00FA5B54" w:rsidRPr="00D121FD" w:rsidRDefault="00FA5B54" w:rsidP="00FA5B54">
      <w:pPr>
        <w:pStyle w:val="Nadpis2"/>
        <w:rPr>
          <w:color w:val="auto"/>
        </w:rPr>
      </w:pPr>
      <w:bookmarkStart w:id="47" w:name="_Toc75366911"/>
      <w:r w:rsidRPr="00D121FD">
        <w:rPr>
          <w:color w:val="auto"/>
        </w:rPr>
        <w:lastRenderedPageBreak/>
        <w:t>S.25.01.</w:t>
      </w:r>
      <w:r w:rsidR="0037263A">
        <w:rPr>
          <w:color w:val="auto"/>
        </w:rPr>
        <w:t>0</w:t>
      </w:r>
      <w:r w:rsidRPr="00D121FD">
        <w:rPr>
          <w:color w:val="auto"/>
        </w:rPr>
        <w:t xml:space="preserve">1 </w:t>
      </w:r>
      <w:r w:rsidR="0037263A">
        <w:rPr>
          <w:color w:val="auto"/>
        </w:rPr>
        <w:t xml:space="preserve">Základní </w:t>
      </w:r>
      <w:proofErr w:type="spellStart"/>
      <w:r w:rsidR="0037263A">
        <w:rPr>
          <w:color w:val="auto"/>
        </w:rPr>
        <w:t>s</w:t>
      </w:r>
      <w:r w:rsidRPr="00D121FD">
        <w:rPr>
          <w:color w:val="auto"/>
        </w:rPr>
        <w:t>olventnostní</w:t>
      </w:r>
      <w:proofErr w:type="spellEnd"/>
      <w:r w:rsidRPr="00D121FD">
        <w:rPr>
          <w:color w:val="auto"/>
        </w:rPr>
        <w:t xml:space="preserve"> kapitálový požadavek</w:t>
      </w:r>
      <w:bookmarkEnd w:id="47"/>
      <w:r w:rsidRPr="00D121FD">
        <w:rPr>
          <w:color w:val="auto"/>
        </w:rPr>
        <w:t xml:space="preserve"> </w:t>
      </w:r>
    </w:p>
    <w:p w14:paraId="5C6A3FE3" w14:textId="77777777" w:rsidR="00FA5B54" w:rsidRPr="001F7CDF" w:rsidRDefault="00FA5B54" w:rsidP="00FA5B54">
      <w:pPr>
        <w:rPr>
          <w:b/>
          <w:bCs/>
        </w:rPr>
      </w:pPr>
    </w:p>
    <w:tbl>
      <w:tblPr>
        <w:tblW w:w="9356" w:type="dxa"/>
        <w:tblCellMar>
          <w:left w:w="70" w:type="dxa"/>
          <w:right w:w="70" w:type="dxa"/>
        </w:tblCellMar>
        <w:tblLook w:val="04A0" w:firstRow="1" w:lastRow="0" w:firstColumn="1" w:lastColumn="0" w:noHBand="0" w:noVBand="1"/>
      </w:tblPr>
      <w:tblGrid>
        <w:gridCol w:w="2552"/>
        <w:gridCol w:w="992"/>
        <w:gridCol w:w="1843"/>
        <w:gridCol w:w="1843"/>
        <w:gridCol w:w="2126"/>
      </w:tblGrid>
      <w:tr w:rsidR="00151F39" w:rsidRPr="00151F39" w14:paraId="618B4F94" w14:textId="77777777" w:rsidTr="00306A2D">
        <w:trPr>
          <w:trHeight w:val="375"/>
        </w:trPr>
        <w:tc>
          <w:tcPr>
            <w:tcW w:w="7230" w:type="dxa"/>
            <w:gridSpan w:val="4"/>
            <w:tcBorders>
              <w:top w:val="nil"/>
              <w:left w:val="nil"/>
              <w:bottom w:val="nil"/>
              <w:right w:val="nil"/>
            </w:tcBorders>
            <w:shd w:val="clear" w:color="auto" w:fill="auto"/>
            <w:noWrap/>
            <w:vAlign w:val="bottom"/>
            <w:hideMark/>
          </w:tcPr>
          <w:p w14:paraId="336E302D" w14:textId="04FD5F53" w:rsidR="00151F39" w:rsidRPr="00151F39" w:rsidRDefault="00151F39" w:rsidP="00151F39">
            <w:pPr>
              <w:spacing w:after="0" w:line="240" w:lineRule="auto"/>
              <w:rPr>
                <w:rFonts w:eastAsia="Times New Roman" w:cstheme="minorHAnsi"/>
                <w:b/>
                <w:bCs/>
                <w:color w:val="000000"/>
                <w:sz w:val="20"/>
                <w:szCs w:val="20"/>
                <w:lang w:eastAsia="cs-CZ"/>
              </w:rPr>
            </w:pPr>
          </w:p>
        </w:tc>
        <w:tc>
          <w:tcPr>
            <w:tcW w:w="2126" w:type="dxa"/>
            <w:tcBorders>
              <w:top w:val="nil"/>
              <w:left w:val="nil"/>
              <w:bottom w:val="nil"/>
              <w:right w:val="nil"/>
            </w:tcBorders>
            <w:shd w:val="clear" w:color="auto" w:fill="auto"/>
            <w:noWrap/>
            <w:vAlign w:val="bottom"/>
            <w:hideMark/>
          </w:tcPr>
          <w:p w14:paraId="253AF30F" w14:textId="77777777" w:rsidR="00151F39" w:rsidRPr="00151F39" w:rsidRDefault="00151F39" w:rsidP="00151F39">
            <w:pPr>
              <w:spacing w:after="0" w:line="240" w:lineRule="auto"/>
              <w:rPr>
                <w:rFonts w:eastAsia="Times New Roman" w:cstheme="minorHAnsi"/>
                <w:b/>
                <w:bCs/>
                <w:color w:val="000000"/>
                <w:sz w:val="20"/>
                <w:szCs w:val="20"/>
                <w:lang w:eastAsia="cs-CZ"/>
              </w:rPr>
            </w:pPr>
          </w:p>
        </w:tc>
      </w:tr>
      <w:tr w:rsidR="00151F39" w:rsidRPr="00151F39" w14:paraId="380A2D07" w14:textId="77777777" w:rsidTr="00306A2D">
        <w:trPr>
          <w:trHeight w:val="300"/>
        </w:trPr>
        <w:tc>
          <w:tcPr>
            <w:tcW w:w="2552" w:type="dxa"/>
            <w:tcBorders>
              <w:top w:val="nil"/>
              <w:left w:val="nil"/>
              <w:bottom w:val="nil"/>
              <w:right w:val="nil"/>
            </w:tcBorders>
            <w:shd w:val="clear" w:color="auto" w:fill="auto"/>
            <w:noWrap/>
            <w:vAlign w:val="bottom"/>
            <w:hideMark/>
          </w:tcPr>
          <w:p w14:paraId="3878C565" w14:textId="77777777" w:rsidR="00151F39" w:rsidRPr="00151F39" w:rsidRDefault="00151F39" w:rsidP="00151F39">
            <w:pPr>
              <w:spacing w:after="0" w:line="240" w:lineRule="auto"/>
              <w:rPr>
                <w:rFonts w:eastAsia="Times New Roman" w:cstheme="minorHAnsi"/>
                <w:sz w:val="20"/>
                <w:szCs w:val="20"/>
                <w:lang w:eastAsia="cs-CZ"/>
              </w:rPr>
            </w:pPr>
          </w:p>
        </w:tc>
        <w:tc>
          <w:tcPr>
            <w:tcW w:w="992" w:type="dxa"/>
            <w:tcBorders>
              <w:top w:val="nil"/>
              <w:left w:val="nil"/>
              <w:bottom w:val="nil"/>
              <w:right w:val="nil"/>
            </w:tcBorders>
            <w:shd w:val="clear" w:color="auto" w:fill="auto"/>
            <w:noWrap/>
            <w:vAlign w:val="bottom"/>
            <w:hideMark/>
          </w:tcPr>
          <w:p w14:paraId="0C398B5C" w14:textId="77777777" w:rsidR="00151F39" w:rsidRPr="00151F39" w:rsidRDefault="00151F39" w:rsidP="00151F39">
            <w:pPr>
              <w:spacing w:after="0" w:line="240" w:lineRule="auto"/>
              <w:rPr>
                <w:rFonts w:eastAsia="Times New Roman"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16A40FD5" w14:textId="77777777" w:rsidR="00151F39" w:rsidRPr="00151F39" w:rsidRDefault="00151F39" w:rsidP="00151F39">
            <w:pPr>
              <w:spacing w:after="0" w:line="240" w:lineRule="auto"/>
              <w:rPr>
                <w:rFonts w:eastAsia="Times New Roman"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2F0015D4" w14:textId="77777777" w:rsidR="00151F39" w:rsidRPr="00151F39" w:rsidRDefault="00151F39" w:rsidP="00151F39">
            <w:pPr>
              <w:spacing w:after="0" w:line="240" w:lineRule="auto"/>
              <w:rPr>
                <w:rFonts w:eastAsia="Times New Roman" w:cstheme="minorHAnsi"/>
                <w:sz w:val="20"/>
                <w:szCs w:val="20"/>
                <w:lang w:eastAsia="cs-CZ"/>
              </w:rPr>
            </w:pPr>
          </w:p>
        </w:tc>
        <w:tc>
          <w:tcPr>
            <w:tcW w:w="2126" w:type="dxa"/>
            <w:tcBorders>
              <w:top w:val="nil"/>
              <w:left w:val="nil"/>
              <w:bottom w:val="nil"/>
              <w:right w:val="nil"/>
            </w:tcBorders>
            <w:shd w:val="clear" w:color="auto" w:fill="auto"/>
            <w:noWrap/>
            <w:vAlign w:val="bottom"/>
            <w:hideMark/>
          </w:tcPr>
          <w:p w14:paraId="31522961" w14:textId="77777777" w:rsidR="00151F39" w:rsidRPr="00151F39" w:rsidRDefault="00151F39" w:rsidP="00151F39">
            <w:pPr>
              <w:spacing w:after="0" w:line="240" w:lineRule="auto"/>
              <w:rPr>
                <w:rFonts w:eastAsia="Times New Roman" w:cstheme="minorHAnsi"/>
                <w:sz w:val="20"/>
                <w:szCs w:val="20"/>
                <w:lang w:eastAsia="cs-CZ"/>
              </w:rPr>
            </w:pPr>
          </w:p>
        </w:tc>
      </w:tr>
      <w:tr w:rsidR="00151F39" w:rsidRPr="00151F39" w14:paraId="3F621495" w14:textId="77777777" w:rsidTr="00306A2D">
        <w:trPr>
          <w:trHeight w:val="300"/>
        </w:trPr>
        <w:tc>
          <w:tcPr>
            <w:tcW w:w="2552" w:type="dxa"/>
            <w:tcBorders>
              <w:top w:val="nil"/>
              <w:left w:val="nil"/>
              <w:bottom w:val="nil"/>
              <w:right w:val="nil"/>
            </w:tcBorders>
            <w:shd w:val="clear" w:color="auto" w:fill="auto"/>
            <w:noWrap/>
            <w:vAlign w:val="bottom"/>
            <w:hideMark/>
          </w:tcPr>
          <w:p w14:paraId="470D8652" w14:textId="77777777" w:rsidR="00151F39" w:rsidRPr="00151F39" w:rsidRDefault="00151F39" w:rsidP="00151F39">
            <w:pPr>
              <w:spacing w:after="0" w:line="240" w:lineRule="auto"/>
              <w:rPr>
                <w:rFonts w:eastAsia="Times New Roman" w:cstheme="minorHAnsi"/>
                <w:sz w:val="20"/>
                <w:szCs w:val="20"/>
                <w:lang w:eastAsia="cs-CZ"/>
              </w:rPr>
            </w:pPr>
          </w:p>
        </w:tc>
        <w:tc>
          <w:tcPr>
            <w:tcW w:w="992" w:type="dxa"/>
            <w:tcBorders>
              <w:top w:val="nil"/>
              <w:left w:val="nil"/>
              <w:bottom w:val="nil"/>
              <w:right w:val="nil"/>
            </w:tcBorders>
            <w:shd w:val="clear" w:color="auto" w:fill="auto"/>
            <w:noWrap/>
            <w:vAlign w:val="bottom"/>
            <w:hideMark/>
          </w:tcPr>
          <w:p w14:paraId="6CE6C3EA" w14:textId="77777777" w:rsidR="00151F39" w:rsidRPr="00151F39" w:rsidRDefault="00151F39" w:rsidP="00151F39">
            <w:pPr>
              <w:spacing w:after="0" w:line="240" w:lineRule="auto"/>
              <w:rPr>
                <w:rFonts w:eastAsia="Times New Roman"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6BF6E24A" w14:textId="77777777" w:rsidR="00151F39" w:rsidRPr="00151F39" w:rsidRDefault="00151F39" w:rsidP="00151F39">
            <w:pPr>
              <w:spacing w:after="0" w:line="240" w:lineRule="auto"/>
              <w:rPr>
                <w:rFonts w:eastAsia="Times New Roman"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79541B81" w14:textId="77777777" w:rsidR="00151F39" w:rsidRPr="00151F39" w:rsidRDefault="00151F39" w:rsidP="00151F39">
            <w:pPr>
              <w:spacing w:after="0" w:line="240" w:lineRule="auto"/>
              <w:rPr>
                <w:rFonts w:eastAsia="Times New Roman" w:cstheme="minorHAnsi"/>
                <w:sz w:val="20"/>
                <w:szCs w:val="20"/>
                <w:lang w:eastAsia="cs-CZ"/>
              </w:rPr>
            </w:pPr>
          </w:p>
        </w:tc>
        <w:tc>
          <w:tcPr>
            <w:tcW w:w="2126" w:type="dxa"/>
            <w:tcBorders>
              <w:top w:val="nil"/>
              <w:left w:val="nil"/>
              <w:bottom w:val="nil"/>
              <w:right w:val="nil"/>
            </w:tcBorders>
            <w:shd w:val="clear" w:color="auto" w:fill="auto"/>
            <w:noWrap/>
            <w:vAlign w:val="bottom"/>
            <w:hideMark/>
          </w:tcPr>
          <w:p w14:paraId="2AB00FFD" w14:textId="77777777" w:rsidR="00151F39" w:rsidRPr="00151F39" w:rsidRDefault="00151F39" w:rsidP="00151F39">
            <w:pPr>
              <w:spacing w:after="0" w:line="240" w:lineRule="auto"/>
              <w:rPr>
                <w:rFonts w:eastAsia="Times New Roman" w:cstheme="minorHAnsi"/>
                <w:sz w:val="20"/>
                <w:szCs w:val="20"/>
                <w:lang w:eastAsia="cs-CZ"/>
              </w:rPr>
            </w:pPr>
          </w:p>
        </w:tc>
      </w:tr>
      <w:tr w:rsidR="00151F39" w:rsidRPr="00306A2D" w14:paraId="5DB01A90" w14:textId="77777777" w:rsidTr="00306A2D">
        <w:trPr>
          <w:trHeight w:val="900"/>
        </w:trPr>
        <w:tc>
          <w:tcPr>
            <w:tcW w:w="2552" w:type="dxa"/>
            <w:tcBorders>
              <w:top w:val="nil"/>
              <w:left w:val="nil"/>
              <w:bottom w:val="nil"/>
              <w:right w:val="nil"/>
            </w:tcBorders>
            <w:shd w:val="clear" w:color="auto" w:fill="auto"/>
            <w:noWrap/>
            <w:vAlign w:val="bottom"/>
            <w:hideMark/>
          </w:tcPr>
          <w:p w14:paraId="30BC7065" w14:textId="77777777" w:rsidR="00151F39" w:rsidRPr="00306A2D" w:rsidRDefault="00151F39" w:rsidP="00151F39">
            <w:pPr>
              <w:spacing w:after="0" w:line="240" w:lineRule="auto"/>
              <w:rPr>
                <w:rFonts w:eastAsia="Times New Roman" w:cstheme="minorHAnsi"/>
                <w:sz w:val="16"/>
                <w:szCs w:val="16"/>
                <w:lang w:eastAsia="cs-CZ"/>
              </w:rPr>
            </w:pPr>
          </w:p>
        </w:tc>
        <w:tc>
          <w:tcPr>
            <w:tcW w:w="992" w:type="dxa"/>
            <w:tcBorders>
              <w:top w:val="nil"/>
              <w:left w:val="nil"/>
              <w:bottom w:val="nil"/>
              <w:right w:val="nil"/>
            </w:tcBorders>
            <w:shd w:val="clear" w:color="auto" w:fill="auto"/>
            <w:noWrap/>
            <w:vAlign w:val="bottom"/>
            <w:hideMark/>
          </w:tcPr>
          <w:p w14:paraId="4830AB7B" w14:textId="77777777" w:rsidR="00151F39" w:rsidRPr="00306A2D" w:rsidRDefault="00151F39" w:rsidP="00151F39">
            <w:pPr>
              <w:spacing w:after="0" w:line="240" w:lineRule="auto"/>
              <w:rPr>
                <w:rFonts w:eastAsia="Times New Roman" w:cstheme="minorHAnsi"/>
                <w:sz w:val="16"/>
                <w:szCs w:val="16"/>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F70E4" w14:textId="77777777" w:rsidR="00151F39" w:rsidRPr="00306A2D" w:rsidRDefault="00151F39" w:rsidP="00151F39">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xml:space="preserve">Čistý </w:t>
            </w:r>
            <w:proofErr w:type="spellStart"/>
            <w:r w:rsidRPr="00306A2D">
              <w:rPr>
                <w:rFonts w:eastAsia="Times New Roman" w:cstheme="minorHAnsi"/>
                <w:color w:val="000000"/>
                <w:sz w:val="16"/>
                <w:szCs w:val="16"/>
                <w:lang w:eastAsia="cs-CZ"/>
              </w:rPr>
              <w:t>solventnostní</w:t>
            </w:r>
            <w:proofErr w:type="spellEnd"/>
            <w:r w:rsidRPr="00306A2D">
              <w:rPr>
                <w:rFonts w:eastAsia="Times New Roman" w:cstheme="minorHAnsi"/>
                <w:color w:val="000000"/>
                <w:sz w:val="16"/>
                <w:szCs w:val="16"/>
                <w:lang w:eastAsia="cs-CZ"/>
              </w:rPr>
              <w:t xml:space="preserve"> kapitálový požadavek</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D0AA12F" w14:textId="77777777" w:rsidR="00151F39" w:rsidRPr="00306A2D" w:rsidRDefault="00151F39" w:rsidP="00151F39">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xml:space="preserve">Hrubý </w:t>
            </w:r>
            <w:proofErr w:type="spellStart"/>
            <w:r w:rsidRPr="00306A2D">
              <w:rPr>
                <w:rFonts w:eastAsia="Times New Roman" w:cstheme="minorHAnsi"/>
                <w:color w:val="000000"/>
                <w:sz w:val="16"/>
                <w:szCs w:val="16"/>
                <w:lang w:eastAsia="cs-CZ"/>
              </w:rPr>
              <w:t>solventnostní</w:t>
            </w:r>
            <w:proofErr w:type="spellEnd"/>
            <w:r w:rsidRPr="00306A2D">
              <w:rPr>
                <w:rFonts w:eastAsia="Times New Roman" w:cstheme="minorHAnsi"/>
                <w:color w:val="000000"/>
                <w:sz w:val="16"/>
                <w:szCs w:val="16"/>
                <w:lang w:eastAsia="cs-CZ"/>
              </w:rPr>
              <w:t xml:space="preserve"> kapitálový požadavek</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BD6776B" w14:textId="77777777" w:rsidR="00151F39" w:rsidRPr="00306A2D" w:rsidRDefault="00151F39" w:rsidP="00151F39">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Prostředky přidělené na základě úprav předepsaných pro účelově vázané fondy / portfolia vyrovnávací úpravy</w:t>
            </w:r>
          </w:p>
        </w:tc>
      </w:tr>
      <w:tr w:rsidR="00151F39" w:rsidRPr="00306A2D" w14:paraId="30504888" w14:textId="77777777" w:rsidTr="00306A2D">
        <w:trPr>
          <w:trHeight w:val="300"/>
        </w:trPr>
        <w:tc>
          <w:tcPr>
            <w:tcW w:w="2552" w:type="dxa"/>
            <w:tcBorders>
              <w:top w:val="nil"/>
              <w:left w:val="nil"/>
              <w:bottom w:val="nil"/>
              <w:right w:val="nil"/>
            </w:tcBorders>
            <w:shd w:val="clear" w:color="auto" w:fill="auto"/>
            <w:noWrap/>
            <w:vAlign w:val="bottom"/>
            <w:hideMark/>
          </w:tcPr>
          <w:p w14:paraId="47F7E638" w14:textId="77777777" w:rsidR="00151F39" w:rsidRPr="00306A2D" w:rsidRDefault="00151F39" w:rsidP="00151F39">
            <w:pPr>
              <w:spacing w:after="0" w:line="240" w:lineRule="auto"/>
              <w:rPr>
                <w:rFonts w:eastAsia="Times New Roman" w:cstheme="minorHAnsi"/>
                <w:color w:val="000000"/>
                <w:sz w:val="16"/>
                <w:szCs w:val="16"/>
                <w:lang w:eastAsia="cs-CZ"/>
              </w:rPr>
            </w:pPr>
          </w:p>
        </w:tc>
        <w:tc>
          <w:tcPr>
            <w:tcW w:w="992" w:type="dxa"/>
            <w:tcBorders>
              <w:top w:val="nil"/>
              <w:left w:val="nil"/>
              <w:bottom w:val="nil"/>
              <w:right w:val="nil"/>
            </w:tcBorders>
            <w:shd w:val="clear" w:color="auto" w:fill="auto"/>
            <w:noWrap/>
            <w:vAlign w:val="bottom"/>
            <w:hideMark/>
          </w:tcPr>
          <w:p w14:paraId="0C47DF5E" w14:textId="77777777" w:rsidR="00151F39" w:rsidRPr="00306A2D" w:rsidRDefault="00151F39" w:rsidP="00151F39">
            <w:pPr>
              <w:spacing w:after="0" w:line="240" w:lineRule="auto"/>
              <w:rPr>
                <w:rFonts w:eastAsia="Times New Roman" w:cstheme="minorHAnsi"/>
                <w:sz w:val="16"/>
                <w:szCs w:val="16"/>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50D7A4" w14:textId="77777777" w:rsidR="00151F39" w:rsidRPr="00306A2D" w:rsidRDefault="00151F39" w:rsidP="00151F39">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C0030</w:t>
            </w:r>
          </w:p>
        </w:tc>
        <w:tc>
          <w:tcPr>
            <w:tcW w:w="1843" w:type="dxa"/>
            <w:tcBorders>
              <w:top w:val="nil"/>
              <w:left w:val="nil"/>
              <w:bottom w:val="single" w:sz="4" w:space="0" w:color="auto"/>
              <w:right w:val="single" w:sz="4" w:space="0" w:color="auto"/>
            </w:tcBorders>
            <w:shd w:val="clear" w:color="auto" w:fill="auto"/>
            <w:noWrap/>
            <w:vAlign w:val="bottom"/>
            <w:hideMark/>
          </w:tcPr>
          <w:p w14:paraId="046D74CA" w14:textId="77777777" w:rsidR="00151F39" w:rsidRPr="00306A2D" w:rsidRDefault="00151F39" w:rsidP="00151F39">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C0040</w:t>
            </w:r>
          </w:p>
        </w:tc>
        <w:tc>
          <w:tcPr>
            <w:tcW w:w="2126" w:type="dxa"/>
            <w:tcBorders>
              <w:top w:val="nil"/>
              <w:left w:val="nil"/>
              <w:bottom w:val="single" w:sz="4" w:space="0" w:color="auto"/>
              <w:right w:val="single" w:sz="4" w:space="0" w:color="auto"/>
            </w:tcBorders>
            <w:shd w:val="clear" w:color="auto" w:fill="auto"/>
            <w:noWrap/>
            <w:vAlign w:val="bottom"/>
            <w:hideMark/>
          </w:tcPr>
          <w:p w14:paraId="7626246C" w14:textId="77777777" w:rsidR="00151F39" w:rsidRPr="00306A2D" w:rsidRDefault="00151F39" w:rsidP="00151F39">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C0050</w:t>
            </w:r>
          </w:p>
        </w:tc>
      </w:tr>
      <w:tr w:rsidR="008D6704" w:rsidRPr="00306A2D" w14:paraId="5D8DEB97" w14:textId="77777777" w:rsidTr="00306A2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B68A5"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Tržní riziko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EA303F"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R0010</w:t>
            </w:r>
          </w:p>
        </w:tc>
        <w:tc>
          <w:tcPr>
            <w:tcW w:w="1843" w:type="dxa"/>
            <w:tcBorders>
              <w:top w:val="nil"/>
              <w:left w:val="nil"/>
              <w:bottom w:val="single" w:sz="4" w:space="0" w:color="auto"/>
              <w:right w:val="single" w:sz="4" w:space="0" w:color="auto"/>
            </w:tcBorders>
            <w:shd w:val="clear" w:color="auto" w:fill="auto"/>
            <w:noWrap/>
            <w:vAlign w:val="bottom"/>
            <w:hideMark/>
          </w:tcPr>
          <w:p w14:paraId="2049C478" w14:textId="114033CB"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432 947</w:t>
            </w:r>
          </w:p>
        </w:tc>
        <w:tc>
          <w:tcPr>
            <w:tcW w:w="1843" w:type="dxa"/>
            <w:tcBorders>
              <w:top w:val="nil"/>
              <w:left w:val="nil"/>
              <w:bottom w:val="single" w:sz="4" w:space="0" w:color="auto"/>
              <w:right w:val="single" w:sz="4" w:space="0" w:color="auto"/>
            </w:tcBorders>
            <w:shd w:val="clear" w:color="auto" w:fill="auto"/>
            <w:noWrap/>
            <w:vAlign w:val="bottom"/>
            <w:hideMark/>
          </w:tcPr>
          <w:p w14:paraId="4902F26E" w14:textId="5DCA917E"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432 947</w:t>
            </w:r>
          </w:p>
        </w:tc>
        <w:tc>
          <w:tcPr>
            <w:tcW w:w="2126" w:type="dxa"/>
            <w:tcBorders>
              <w:top w:val="nil"/>
              <w:left w:val="nil"/>
              <w:bottom w:val="single" w:sz="4" w:space="0" w:color="auto"/>
              <w:right w:val="single" w:sz="4" w:space="0" w:color="auto"/>
            </w:tcBorders>
            <w:shd w:val="clear" w:color="auto" w:fill="auto"/>
            <w:noWrap/>
            <w:vAlign w:val="bottom"/>
            <w:hideMark/>
          </w:tcPr>
          <w:p w14:paraId="111B40B4"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6A1E870A"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893F485"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Riziko selhání protistrany</w:t>
            </w:r>
          </w:p>
        </w:tc>
        <w:tc>
          <w:tcPr>
            <w:tcW w:w="992" w:type="dxa"/>
            <w:tcBorders>
              <w:top w:val="nil"/>
              <w:left w:val="nil"/>
              <w:bottom w:val="single" w:sz="4" w:space="0" w:color="auto"/>
              <w:right w:val="single" w:sz="4" w:space="0" w:color="auto"/>
            </w:tcBorders>
            <w:shd w:val="clear" w:color="auto" w:fill="auto"/>
            <w:noWrap/>
            <w:vAlign w:val="bottom"/>
            <w:hideMark/>
          </w:tcPr>
          <w:p w14:paraId="4F186509"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R0020</w:t>
            </w:r>
          </w:p>
        </w:tc>
        <w:tc>
          <w:tcPr>
            <w:tcW w:w="1843" w:type="dxa"/>
            <w:tcBorders>
              <w:top w:val="nil"/>
              <w:left w:val="nil"/>
              <w:bottom w:val="single" w:sz="4" w:space="0" w:color="auto"/>
              <w:right w:val="single" w:sz="4" w:space="0" w:color="auto"/>
            </w:tcBorders>
            <w:shd w:val="clear" w:color="auto" w:fill="auto"/>
            <w:noWrap/>
            <w:vAlign w:val="bottom"/>
            <w:hideMark/>
          </w:tcPr>
          <w:p w14:paraId="75E8F87C" w14:textId="0AEDC791"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220 000</w:t>
            </w:r>
          </w:p>
        </w:tc>
        <w:tc>
          <w:tcPr>
            <w:tcW w:w="1843" w:type="dxa"/>
            <w:tcBorders>
              <w:top w:val="nil"/>
              <w:left w:val="nil"/>
              <w:bottom w:val="single" w:sz="4" w:space="0" w:color="auto"/>
              <w:right w:val="single" w:sz="4" w:space="0" w:color="auto"/>
            </w:tcBorders>
            <w:shd w:val="clear" w:color="auto" w:fill="auto"/>
            <w:noWrap/>
            <w:vAlign w:val="bottom"/>
            <w:hideMark/>
          </w:tcPr>
          <w:p w14:paraId="0591B4AC" w14:textId="2AB053EC"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220 000</w:t>
            </w:r>
          </w:p>
        </w:tc>
        <w:tc>
          <w:tcPr>
            <w:tcW w:w="2126" w:type="dxa"/>
            <w:tcBorders>
              <w:top w:val="nil"/>
              <w:left w:val="nil"/>
              <w:bottom w:val="single" w:sz="4" w:space="0" w:color="auto"/>
              <w:right w:val="single" w:sz="4" w:space="0" w:color="auto"/>
            </w:tcBorders>
            <w:shd w:val="clear" w:color="auto" w:fill="auto"/>
            <w:noWrap/>
            <w:vAlign w:val="bottom"/>
            <w:hideMark/>
          </w:tcPr>
          <w:p w14:paraId="41CCD545"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5622F181"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02F75B5"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Životní upisovací riziko</w:t>
            </w:r>
          </w:p>
        </w:tc>
        <w:tc>
          <w:tcPr>
            <w:tcW w:w="992" w:type="dxa"/>
            <w:tcBorders>
              <w:top w:val="nil"/>
              <w:left w:val="nil"/>
              <w:bottom w:val="single" w:sz="4" w:space="0" w:color="auto"/>
              <w:right w:val="single" w:sz="4" w:space="0" w:color="auto"/>
            </w:tcBorders>
            <w:shd w:val="clear" w:color="auto" w:fill="auto"/>
            <w:noWrap/>
            <w:vAlign w:val="bottom"/>
            <w:hideMark/>
          </w:tcPr>
          <w:p w14:paraId="27C369E3"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R0030</w:t>
            </w:r>
          </w:p>
        </w:tc>
        <w:tc>
          <w:tcPr>
            <w:tcW w:w="1843" w:type="dxa"/>
            <w:tcBorders>
              <w:top w:val="nil"/>
              <w:left w:val="nil"/>
              <w:bottom w:val="single" w:sz="4" w:space="0" w:color="auto"/>
              <w:right w:val="single" w:sz="4" w:space="0" w:color="auto"/>
            </w:tcBorders>
            <w:shd w:val="clear" w:color="auto" w:fill="auto"/>
            <w:noWrap/>
            <w:vAlign w:val="bottom"/>
            <w:hideMark/>
          </w:tcPr>
          <w:p w14:paraId="0EC1E7BC" w14:textId="71F8765D"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1843" w:type="dxa"/>
            <w:tcBorders>
              <w:top w:val="nil"/>
              <w:left w:val="nil"/>
              <w:bottom w:val="single" w:sz="4" w:space="0" w:color="auto"/>
              <w:right w:val="single" w:sz="4" w:space="0" w:color="auto"/>
            </w:tcBorders>
            <w:shd w:val="clear" w:color="auto" w:fill="auto"/>
            <w:noWrap/>
            <w:vAlign w:val="bottom"/>
            <w:hideMark/>
          </w:tcPr>
          <w:p w14:paraId="3FE3C89A" w14:textId="63E1CD3C"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2126" w:type="dxa"/>
            <w:tcBorders>
              <w:top w:val="nil"/>
              <w:left w:val="nil"/>
              <w:bottom w:val="single" w:sz="4" w:space="0" w:color="auto"/>
              <w:right w:val="single" w:sz="4" w:space="0" w:color="auto"/>
            </w:tcBorders>
            <w:shd w:val="clear" w:color="auto" w:fill="auto"/>
            <w:noWrap/>
            <w:vAlign w:val="bottom"/>
            <w:hideMark/>
          </w:tcPr>
          <w:p w14:paraId="2093835B"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73FABCB3"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97CB97"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Zdravotní upisovací riziko</w:t>
            </w:r>
          </w:p>
        </w:tc>
        <w:tc>
          <w:tcPr>
            <w:tcW w:w="992" w:type="dxa"/>
            <w:tcBorders>
              <w:top w:val="nil"/>
              <w:left w:val="nil"/>
              <w:bottom w:val="single" w:sz="4" w:space="0" w:color="auto"/>
              <w:right w:val="single" w:sz="4" w:space="0" w:color="auto"/>
            </w:tcBorders>
            <w:shd w:val="clear" w:color="auto" w:fill="auto"/>
            <w:noWrap/>
            <w:vAlign w:val="bottom"/>
            <w:hideMark/>
          </w:tcPr>
          <w:p w14:paraId="7B6A1EA4"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R0040</w:t>
            </w:r>
          </w:p>
        </w:tc>
        <w:tc>
          <w:tcPr>
            <w:tcW w:w="1843" w:type="dxa"/>
            <w:tcBorders>
              <w:top w:val="nil"/>
              <w:left w:val="nil"/>
              <w:bottom w:val="single" w:sz="4" w:space="0" w:color="auto"/>
              <w:right w:val="single" w:sz="4" w:space="0" w:color="auto"/>
            </w:tcBorders>
            <w:shd w:val="clear" w:color="auto" w:fill="auto"/>
            <w:noWrap/>
            <w:vAlign w:val="bottom"/>
            <w:hideMark/>
          </w:tcPr>
          <w:p w14:paraId="31268206" w14:textId="69B84C23"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12 801 636</w:t>
            </w:r>
          </w:p>
        </w:tc>
        <w:tc>
          <w:tcPr>
            <w:tcW w:w="1843" w:type="dxa"/>
            <w:tcBorders>
              <w:top w:val="nil"/>
              <w:left w:val="nil"/>
              <w:bottom w:val="single" w:sz="4" w:space="0" w:color="auto"/>
              <w:right w:val="single" w:sz="4" w:space="0" w:color="auto"/>
            </w:tcBorders>
            <w:shd w:val="clear" w:color="auto" w:fill="auto"/>
            <w:noWrap/>
            <w:vAlign w:val="bottom"/>
            <w:hideMark/>
          </w:tcPr>
          <w:p w14:paraId="2D56F12E" w14:textId="69BABEB0"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12 801 636</w:t>
            </w:r>
          </w:p>
        </w:tc>
        <w:tc>
          <w:tcPr>
            <w:tcW w:w="2126" w:type="dxa"/>
            <w:tcBorders>
              <w:top w:val="nil"/>
              <w:left w:val="nil"/>
              <w:bottom w:val="single" w:sz="4" w:space="0" w:color="auto"/>
              <w:right w:val="single" w:sz="4" w:space="0" w:color="auto"/>
            </w:tcBorders>
            <w:shd w:val="clear" w:color="auto" w:fill="auto"/>
            <w:noWrap/>
            <w:vAlign w:val="bottom"/>
            <w:hideMark/>
          </w:tcPr>
          <w:p w14:paraId="7B6F32BF"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72F677A4"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5260DD8"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Neživotní upisovací riziko</w:t>
            </w:r>
          </w:p>
        </w:tc>
        <w:tc>
          <w:tcPr>
            <w:tcW w:w="992" w:type="dxa"/>
            <w:tcBorders>
              <w:top w:val="nil"/>
              <w:left w:val="nil"/>
              <w:bottom w:val="single" w:sz="4" w:space="0" w:color="auto"/>
              <w:right w:val="single" w:sz="4" w:space="0" w:color="auto"/>
            </w:tcBorders>
            <w:shd w:val="clear" w:color="auto" w:fill="auto"/>
            <w:noWrap/>
            <w:vAlign w:val="bottom"/>
            <w:hideMark/>
          </w:tcPr>
          <w:p w14:paraId="4FEE0A2F"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R0050</w:t>
            </w:r>
          </w:p>
        </w:tc>
        <w:tc>
          <w:tcPr>
            <w:tcW w:w="1843" w:type="dxa"/>
            <w:tcBorders>
              <w:top w:val="nil"/>
              <w:left w:val="nil"/>
              <w:bottom w:val="single" w:sz="4" w:space="0" w:color="auto"/>
              <w:right w:val="single" w:sz="4" w:space="0" w:color="auto"/>
            </w:tcBorders>
            <w:shd w:val="clear" w:color="auto" w:fill="auto"/>
            <w:noWrap/>
            <w:vAlign w:val="bottom"/>
            <w:hideMark/>
          </w:tcPr>
          <w:p w14:paraId="7A098A82" w14:textId="688B75F3"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1843" w:type="dxa"/>
            <w:tcBorders>
              <w:top w:val="nil"/>
              <w:left w:val="nil"/>
              <w:bottom w:val="single" w:sz="4" w:space="0" w:color="auto"/>
              <w:right w:val="single" w:sz="4" w:space="0" w:color="auto"/>
            </w:tcBorders>
            <w:shd w:val="clear" w:color="auto" w:fill="auto"/>
            <w:noWrap/>
            <w:vAlign w:val="bottom"/>
            <w:hideMark/>
          </w:tcPr>
          <w:p w14:paraId="5B138A78" w14:textId="4938CE7B"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2126" w:type="dxa"/>
            <w:tcBorders>
              <w:top w:val="nil"/>
              <w:left w:val="nil"/>
              <w:bottom w:val="single" w:sz="4" w:space="0" w:color="auto"/>
              <w:right w:val="single" w:sz="4" w:space="0" w:color="auto"/>
            </w:tcBorders>
            <w:shd w:val="clear" w:color="auto" w:fill="auto"/>
            <w:noWrap/>
            <w:vAlign w:val="bottom"/>
            <w:hideMark/>
          </w:tcPr>
          <w:p w14:paraId="17B41781"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5BB0FD2C"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58CF3A"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Diverzifikace</w:t>
            </w:r>
          </w:p>
        </w:tc>
        <w:tc>
          <w:tcPr>
            <w:tcW w:w="992" w:type="dxa"/>
            <w:tcBorders>
              <w:top w:val="nil"/>
              <w:left w:val="nil"/>
              <w:bottom w:val="single" w:sz="4" w:space="0" w:color="auto"/>
              <w:right w:val="single" w:sz="4" w:space="0" w:color="auto"/>
            </w:tcBorders>
            <w:shd w:val="clear" w:color="auto" w:fill="auto"/>
            <w:noWrap/>
            <w:vAlign w:val="bottom"/>
            <w:hideMark/>
          </w:tcPr>
          <w:p w14:paraId="0E12DFA1"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R0060</w:t>
            </w:r>
          </w:p>
        </w:tc>
        <w:tc>
          <w:tcPr>
            <w:tcW w:w="1843" w:type="dxa"/>
            <w:tcBorders>
              <w:top w:val="nil"/>
              <w:left w:val="nil"/>
              <w:bottom w:val="single" w:sz="4" w:space="0" w:color="auto"/>
              <w:right w:val="single" w:sz="4" w:space="0" w:color="auto"/>
            </w:tcBorders>
            <w:shd w:val="clear" w:color="auto" w:fill="auto"/>
            <w:noWrap/>
            <w:vAlign w:val="bottom"/>
            <w:hideMark/>
          </w:tcPr>
          <w:p w14:paraId="0519EB33" w14:textId="23563168"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1843" w:type="dxa"/>
            <w:tcBorders>
              <w:top w:val="nil"/>
              <w:left w:val="nil"/>
              <w:bottom w:val="single" w:sz="4" w:space="0" w:color="auto"/>
              <w:right w:val="single" w:sz="4" w:space="0" w:color="auto"/>
            </w:tcBorders>
            <w:shd w:val="clear" w:color="auto" w:fill="auto"/>
            <w:noWrap/>
            <w:vAlign w:val="bottom"/>
            <w:hideMark/>
          </w:tcPr>
          <w:p w14:paraId="4E60B07C" w14:textId="3CB22BC3"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2126" w:type="dxa"/>
            <w:tcBorders>
              <w:top w:val="nil"/>
              <w:left w:val="nil"/>
              <w:bottom w:val="single" w:sz="4" w:space="0" w:color="auto"/>
              <w:right w:val="single" w:sz="4" w:space="0" w:color="auto"/>
            </w:tcBorders>
            <w:shd w:val="clear" w:color="auto" w:fill="auto"/>
            <w:noWrap/>
            <w:vAlign w:val="bottom"/>
            <w:hideMark/>
          </w:tcPr>
          <w:p w14:paraId="6E5F5E49"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5ADA2187"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FED5521"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Riziko nehmotných aktiv</w:t>
            </w:r>
          </w:p>
        </w:tc>
        <w:tc>
          <w:tcPr>
            <w:tcW w:w="992" w:type="dxa"/>
            <w:tcBorders>
              <w:top w:val="nil"/>
              <w:left w:val="nil"/>
              <w:bottom w:val="single" w:sz="4" w:space="0" w:color="auto"/>
              <w:right w:val="single" w:sz="4" w:space="0" w:color="auto"/>
            </w:tcBorders>
            <w:shd w:val="clear" w:color="auto" w:fill="auto"/>
            <w:noWrap/>
            <w:vAlign w:val="bottom"/>
            <w:hideMark/>
          </w:tcPr>
          <w:p w14:paraId="3EE7AC27"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R0070</w:t>
            </w:r>
          </w:p>
        </w:tc>
        <w:tc>
          <w:tcPr>
            <w:tcW w:w="1843" w:type="dxa"/>
            <w:tcBorders>
              <w:top w:val="nil"/>
              <w:left w:val="nil"/>
              <w:bottom w:val="single" w:sz="4" w:space="0" w:color="auto"/>
              <w:right w:val="single" w:sz="4" w:space="0" w:color="auto"/>
            </w:tcBorders>
            <w:shd w:val="clear" w:color="auto" w:fill="auto"/>
            <w:noWrap/>
            <w:vAlign w:val="bottom"/>
            <w:hideMark/>
          </w:tcPr>
          <w:p w14:paraId="58C433DA" w14:textId="1A45AE89"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1843" w:type="dxa"/>
            <w:tcBorders>
              <w:top w:val="nil"/>
              <w:left w:val="nil"/>
              <w:bottom w:val="single" w:sz="4" w:space="0" w:color="auto"/>
              <w:right w:val="single" w:sz="4" w:space="0" w:color="auto"/>
            </w:tcBorders>
            <w:shd w:val="clear" w:color="auto" w:fill="auto"/>
            <w:noWrap/>
            <w:vAlign w:val="bottom"/>
            <w:hideMark/>
          </w:tcPr>
          <w:p w14:paraId="7A060A4F" w14:textId="7E457750" w:rsidR="008D6704" w:rsidRPr="00306A2D" w:rsidRDefault="008D6704" w:rsidP="008D6704">
            <w:pPr>
              <w:spacing w:after="0" w:line="240" w:lineRule="auto"/>
              <w:jc w:val="center"/>
              <w:rPr>
                <w:rFonts w:eastAsia="Times New Roman" w:cstheme="minorHAnsi"/>
                <w:color w:val="000000"/>
                <w:sz w:val="16"/>
                <w:szCs w:val="16"/>
                <w:lang w:eastAsia="cs-CZ"/>
              </w:rPr>
            </w:pPr>
          </w:p>
        </w:tc>
        <w:tc>
          <w:tcPr>
            <w:tcW w:w="2126" w:type="dxa"/>
            <w:tcBorders>
              <w:top w:val="nil"/>
              <w:left w:val="nil"/>
              <w:bottom w:val="single" w:sz="4" w:space="0" w:color="auto"/>
              <w:right w:val="single" w:sz="4" w:space="0" w:color="auto"/>
            </w:tcBorders>
            <w:shd w:val="clear" w:color="auto" w:fill="auto"/>
            <w:noWrap/>
            <w:vAlign w:val="bottom"/>
            <w:hideMark/>
          </w:tcPr>
          <w:p w14:paraId="54C669EA"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r w:rsidR="008D6704" w:rsidRPr="00306A2D" w14:paraId="5A295917" w14:textId="77777777" w:rsidTr="00306A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D452AFB"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xml:space="preserve">Základní </w:t>
            </w:r>
            <w:proofErr w:type="spellStart"/>
            <w:r w:rsidRPr="00306A2D">
              <w:rPr>
                <w:rFonts w:eastAsia="Times New Roman" w:cstheme="minorHAnsi"/>
                <w:color w:val="000000"/>
                <w:sz w:val="16"/>
                <w:szCs w:val="16"/>
                <w:lang w:eastAsia="cs-CZ"/>
              </w:rPr>
              <w:t>solventnostní</w:t>
            </w:r>
            <w:proofErr w:type="spellEnd"/>
            <w:r w:rsidRPr="00306A2D">
              <w:rPr>
                <w:rFonts w:eastAsia="Times New Roman" w:cstheme="minorHAnsi"/>
                <w:color w:val="000000"/>
                <w:sz w:val="16"/>
                <w:szCs w:val="16"/>
                <w:lang w:eastAsia="cs-CZ"/>
              </w:rPr>
              <w:t xml:space="preserve"> kapitálový požadavek</w:t>
            </w:r>
          </w:p>
        </w:tc>
        <w:tc>
          <w:tcPr>
            <w:tcW w:w="992" w:type="dxa"/>
            <w:tcBorders>
              <w:top w:val="nil"/>
              <w:left w:val="nil"/>
              <w:bottom w:val="single" w:sz="4" w:space="0" w:color="auto"/>
              <w:right w:val="single" w:sz="4" w:space="0" w:color="auto"/>
            </w:tcBorders>
            <w:shd w:val="clear" w:color="auto" w:fill="auto"/>
            <w:noWrap/>
            <w:vAlign w:val="bottom"/>
            <w:hideMark/>
          </w:tcPr>
          <w:p w14:paraId="618ED173" w14:textId="7777777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eastAsia="Times New Roman" w:cstheme="minorHAnsi"/>
                <w:color w:val="000000"/>
                <w:sz w:val="16"/>
                <w:szCs w:val="16"/>
                <w:lang w:eastAsia="cs-CZ"/>
              </w:rPr>
              <w:t>R0100</w:t>
            </w:r>
          </w:p>
        </w:tc>
        <w:tc>
          <w:tcPr>
            <w:tcW w:w="1843" w:type="dxa"/>
            <w:tcBorders>
              <w:top w:val="nil"/>
              <w:left w:val="nil"/>
              <w:bottom w:val="single" w:sz="4" w:space="0" w:color="auto"/>
              <w:right w:val="single" w:sz="4" w:space="0" w:color="auto"/>
            </w:tcBorders>
            <w:shd w:val="clear" w:color="auto" w:fill="auto"/>
            <w:noWrap/>
            <w:vAlign w:val="bottom"/>
            <w:hideMark/>
          </w:tcPr>
          <w:p w14:paraId="3F0602C4" w14:textId="3D08A4F7"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13 454 584</w:t>
            </w:r>
          </w:p>
        </w:tc>
        <w:tc>
          <w:tcPr>
            <w:tcW w:w="1843" w:type="dxa"/>
            <w:tcBorders>
              <w:top w:val="nil"/>
              <w:left w:val="nil"/>
              <w:bottom w:val="single" w:sz="4" w:space="0" w:color="auto"/>
              <w:right w:val="single" w:sz="4" w:space="0" w:color="auto"/>
            </w:tcBorders>
            <w:shd w:val="clear" w:color="auto" w:fill="auto"/>
            <w:noWrap/>
            <w:vAlign w:val="bottom"/>
            <w:hideMark/>
          </w:tcPr>
          <w:p w14:paraId="64A4F8CF" w14:textId="0B160949" w:rsidR="008D6704" w:rsidRPr="00306A2D" w:rsidRDefault="008D6704" w:rsidP="008D6704">
            <w:pPr>
              <w:spacing w:after="0" w:line="240" w:lineRule="auto"/>
              <w:jc w:val="center"/>
              <w:rPr>
                <w:rFonts w:eastAsia="Times New Roman" w:cstheme="minorHAnsi"/>
                <w:color w:val="000000"/>
                <w:sz w:val="16"/>
                <w:szCs w:val="16"/>
                <w:lang w:eastAsia="cs-CZ"/>
              </w:rPr>
            </w:pPr>
            <w:r w:rsidRPr="00306A2D">
              <w:rPr>
                <w:rFonts w:ascii="Calibri" w:hAnsi="Calibri" w:cs="Calibri"/>
                <w:color w:val="000000"/>
                <w:sz w:val="16"/>
                <w:szCs w:val="16"/>
              </w:rPr>
              <w:t>13 454 584</w:t>
            </w:r>
          </w:p>
        </w:tc>
        <w:tc>
          <w:tcPr>
            <w:tcW w:w="2126" w:type="dxa"/>
            <w:tcBorders>
              <w:top w:val="nil"/>
              <w:left w:val="nil"/>
              <w:bottom w:val="single" w:sz="4" w:space="0" w:color="auto"/>
              <w:right w:val="single" w:sz="4" w:space="0" w:color="auto"/>
            </w:tcBorders>
            <w:shd w:val="clear" w:color="auto" w:fill="auto"/>
            <w:noWrap/>
            <w:vAlign w:val="bottom"/>
            <w:hideMark/>
          </w:tcPr>
          <w:p w14:paraId="27EA14B6" w14:textId="77777777" w:rsidR="008D6704" w:rsidRPr="00306A2D" w:rsidRDefault="008D6704" w:rsidP="008D6704">
            <w:pPr>
              <w:spacing w:after="0" w:line="240" w:lineRule="auto"/>
              <w:rPr>
                <w:rFonts w:eastAsia="Times New Roman" w:cstheme="minorHAnsi"/>
                <w:color w:val="000000"/>
                <w:sz w:val="16"/>
                <w:szCs w:val="16"/>
                <w:lang w:eastAsia="cs-CZ"/>
              </w:rPr>
            </w:pPr>
            <w:r w:rsidRPr="00306A2D">
              <w:rPr>
                <w:rFonts w:eastAsia="Times New Roman" w:cstheme="minorHAnsi"/>
                <w:color w:val="000000"/>
                <w:sz w:val="16"/>
                <w:szCs w:val="16"/>
                <w:lang w:eastAsia="cs-CZ"/>
              </w:rPr>
              <w:t> </w:t>
            </w:r>
          </w:p>
        </w:tc>
      </w:tr>
    </w:tbl>
    <w:p w14:paraId="791237F8" w14:textId="77777777" w:rsidR="00FA5B54" w:rsidRDefault="00FA5B54" w:rsidP="00FA5B54"/>
    <w:tbl>
      <w:tblPr>
        <w:tblW w:w="9356" w:type="dxa"/>
        <w:tblCellMar>
          <w:left w:w="70" w:type="dxa"/>
          <w:right w:w="70" w:type="dxa"/>
        </w:tblCellMar>
        <w:tblLook w:val="04A0" w:firstRow="1" w:lastRow="0" w:firstColumn="1" w:lastColumn="0" w:noHBand="0" w:noVBand="1"/>
      </w:tblPr>
      <w:tblGrid>
        <w:gridCol w:w="7230"/>
        <w:gridCol w:w="708"/>
        <w:gridCol w:w="1418"/>
      </w:tblGrid>
      <w:tr w:rsidR="00D81028" w:rsidRPr="00D81028" w14:paraId="5DB916D9" w14:textId="77777777" w:rsidTr="00260EC7">
        <w:tc>
          <w:tcPr>
            <w:tcW w:w="9356" w:type="dxa"/>
            <w:gridSpan w:val="3"/>
            <w:tcBorders>
              <w:top w:val="nil"/>
              <w:left w:val="nil"/>
              <w:bottom w:val="nil"/>
              <w:right w:val="nil"/>
            </w:tcBorders>
            <w:shd w:val="clear" w:color="auto" w:fill="auto"/>
            <w:noWrap/>
            <w:vAlign w:val="bottom"/>
            <w:hideMark/>
          </w:tcPr>
          <w:p w14:paraId="021794EE" w14:textId="31C59282" w:rsidR="00D81028" w:rsidRPr="00D81028" w:rsidRDefault="00D81028" w:rsidP="00A82547">
            <w:pPr>
              <w:spacing w:before="20" w:after="20" w:line="240" w:lineRule="auto"/>
              <w:rPr>
                <w:rFonts w:eastAsia="Times New Roman" w:cstheme="minorHAnsi"/>
                <w:b/>
                <w:bCs/>
                <w:color w:val="000000"/>
                <w:sz w:val="16"/>
                <w:szCs w:val="16"/>
                <w:lang w:eastAsia="cs-CZ"/>
              </w:rPr>
            </w:pPr>
            <w:r w:rsidRPr="00D81028">
              <w:rPr>
                <w:rFonts w:eastAsia="Times New Roman" w:cstheme="minorHAnsi"/>
                <w:b/>
                <w:bCs/>
                <w:color w:val="000000"/>
                <w:sz w:val="16"/>
                <w:szCs w:val="16"/>
                <w:lang w:eastAsia="cs-CZ"/>
              </w:rPr>
              <w:t xml:space="preserve">Výpočet </w:t>
            </w:r>
            <w:proofErr w:type="spellStart"/>
            <w:r w:rsidRPr="00D81028">
              <w:rPr>
                <w:rFonts w:eastAsia="Times New Roman" w:cstheme="minorHAnsi"/>
                <w:b/>
                <w:bCs/>
                <w:color w:val="000000"/>
                <w:sz w:val="16"/>
                <w:szCs w:val="16"/>
                <w:lang w:eastAsia="cs-CZ"/>
              </w:rPr>
              <w:t>solventnostního</w:t>
            </w:r>
            <w:proofErr w:type="spellEnd"/>
            <w:r w:rsidRPr="00D81028">
              <w:rPr>
                <w:rFonts w:eastAsia="Times New Roman" w:cstheme="minorHAnsi"/>
                <w:b/>
                <w:bCs/>
                <w:color w:val="000000"/>
                <w:sz w:val="16"/>
                <w:szCs w:val="16"/>
                <w:lang w:eastAsia="cs-CZ"/>
              </w:rPr>
              <w:t xml:space="preserve"> kapitálového požadavku</w:t>
            </w:r>
          </w:p>
        </w:tc>
      </w:tr>
      <w:tr w:rsidR="00D81028" w:rsidRPr="00D81028" w14:paraId="74B931C6" w14:textId="77777777" w:rsidTr="00260EC7">
        <w:tc>
          <w:tcPr>
            <w:tcW w:w="7230" w:type="dxa"/>
            <w:tcBorders>
              <w:top w:val="nil"/>
              <w:left w:val="nil"/>
              <w:bottom w:val="nil"/>
              <w:right w:val="nil"/>
            </w:tcBorders>
            <w:shd w:val="clear" w:color="auto" w:fill="auto"/>
            <w:noWrap/>
            <w:vAlign w:val="bottom"/>
            <w:hideMark/>
          </w:tcPr>
          <w:p w14:paraId="3132204A" w14:textId="77777777" w:rsidR="00D81028" w:rsidRPr="00D81028" w:rsidRDefault="00D81028" w:rsidP="00A82547">
            <w:pPr>
              <w:spacing w:before="20" w:after="20" w:line="240" w:lineRule="auto"/>
              <w:rPr>
                <w:rFonts w:eastAsia="Times New Roman" w:cstheme="minorHAnsi"/>
                <w:sz w:val="16"/>
                <w:szCs w:val="16"/>
                <w:lang w:eastAsia="cs-CZ"/>
              </w:rPr>
            </w:pPr>
          </w:p>
        </w:tc>
        <w:tc>
          <w:tcPr>
            <w:tcW w:w="708" w:type="dxa"/>
            <w:tcBorders>
              <w:top w:val="nil"/>
              <w:left w:val="nil"/>
              <w:bottom w:val="nil"/>
              <w:right w:val="nil"/>
            </w:tcBorders>
            <w:shd w:val="clear" w:color="auto" w:fill="auto"/>
            <w:noWrap/>
            <w:vAlign w:val="bottom"/>
            <w:hideMark/>
          </w:tcPr>
          <w:p w14:paraId="6B0D881A" w14:textId="77777777" w:rsidR="00D81028" w:rsidRPr="00D81028" w:rsidRDefault="00D81028" w:rsidP="00A82547">
            <w:pPr>
              <w:spacing w:before="20" w:after="20" w:line="240" w:lineRule="auto"/>
              <w:rPr>
                <w:rFonts w:eastAsia="Times New Roman" w:cstheme="minorHAnsi"/>
                <w:sz w:val="16"/>
                <w:szCs w:val="16"/>
                <w:lang w:eastAsia="cs-CZ"/>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B49C1"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C0100</w:t>
            </w:r>
          </w:p>
        </w:tc>
      </w:tr>
      <w:tr w:rsidR="00D81028" w:rsidRPr="00D81028" w14:paraId="548692F3" w14:textId="77777777" w:rsidTr="00260EC7">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76FC3"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Úprava vyplývající z agregace fiktivního </w:t>
            </w:r>
            <w:proofErr w:type="spellStart"/>
            <w:r w:rsidRPr="00D81028">
              <w:rPr>
                <w:rFonts w:eastAsia="Times New Roman" w:cstheme="minorHAnsi"/>
                <w:color w:val="000000"/>
                <w:sz w:val="16"/>
                <w:szCs w:val="16"/>
                <w:lang w:eastAsia="cs-CZ"/>
              </w:rPr>
              <w:t>solventnostního</w:t>
            </w:r>
            <w:proofErr w:type="spellEnd"/>
            <w:r w:rsidRPr="00D81028">
              <w:rPr>
                <w:rFonts w:eastAsia="Times New Roman" w:cstheme="minorHAnsi"/>
                <w:color w:val="000000"/>
                <w:sz w:val="16"/>
                <w:szCs w:val="16"/>
                <w:lang w:eastAsia="cs-CZ"/>
              </w:rPr>
              <w:t xml:space="preserve"> kapitálového požadavku pro účelově vázané fondy / portfolia vyrovnávací úpravy</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B479ABB"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R0120</w:t>
            </w:r>
          </w:p>
        </w:tc>
        <w:tc>
          <w:tcPr>
            <w:tcW w:w="1418" w:type="dxa"/>
            <w:tcBorders>
              <w:top w:val="nil"/>
              <w:left w:val="nil"/>
              <w:bottom w:val="single" w:sz="4" w:space="0" w:color="auto"/>
              <w:right w:val="single" w:sz="4" w:space="0" w:color="auto"/>
            </w:tcBorders>
            <w:shd w:val="clear" w:color="auto" w:fill="auto"/>
            <w:noWrap/>
            <w:vAlign w:val="bottom"/>
            <w:hideMark/>
          </w:tcPr>
          <w:p w14:paraId="4507BA65"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21990694"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49C06173"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Operační riziko</w:t>
            </w:r>
          </w:p>
        </w:tc>
        <w:tc>
          <w:tcPr>
            <w:tcW w:w="708" w:type="dxa"/>
            <w:tcBorders>
              <w:top w:val="nil"/>
              <w:left w:val="nil"/>
              <w:bottom w:val="single" w:sz="4" w:space="0" w:color="auto"/>
              <w:right w:val="single" w:sz="4" w:space="0" w:color="auto"/>
            </w:tcBorders>
            <w:shd w:val="clear" w:color="auto" w:fill="auto"/>
            <w:noWrap/>
            <w:vAlign w:val="bottom"/>
            <w:hideMark/>
          </w:tcPr>
          <w:p w14:paraId="74674534"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R0130</w:t>
            </w:r>
          </w:p>
        </w:tc>
        <w:tc>
          <w:tcPr>
            <w:tcW w:w="1418" w:type="dxa"/>
            <w:tcBorders>
              <w:top w:val="nil"/>
              <w:left w:val="nil"/>
              <w:bottom w:val="single" w:sz="4" w:space="0" w:color="auto"/>
              <w:right w:val="single" w:sz="4" w:space="0" w:color="auto"/>
            </w:tcBorders>
            <w:shd w:val="clear" w:color="auto" w:fill="auto"/>
            <w:noWrap/>
            <w:vAlign w:val="bottom"/>
            <w:hideMark/>
          </w:tcPr>
          <w:p w14:paraId="38D6C038"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645 465</w:t>
            </w:r>
          </w:p>
        </w:tc>
      </w:tr>
      <w:tr w:rsidR="00D81028" w:rsidRPr="00D81028" w14:paraId="483EF565"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069E1444"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Schopnost technických rezerv absorbovat ztráty</w:t>
            </w:r>
          </w:p>
        </w:tc>
        <w:tc>
          <w:tcPr>
            <w:tcW w:w="708" w:type="dxa"/>
            <w:tcBorders>
              <w:top w:val="nil"/>
              <w:left w:val="nil"/>
              <w:bottom w:val="single" w:sz="4" w:space="0" w:color="auto"/>
              <w:right w:val="single" w:sz="4" w:space="0" w:color="auto"/>
            </w:tcBorders>
            <w:shd w:val="clear" w:color="auto" w:fill="auto"/>
            <w:noWrap/>
            <w:vAlign w:val="bottom"/>
            <w:hideMark/>
          </w:tcPr>
          <w:p w14:paraId="797C2687"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R0140</w:t>
            </w:r>
          </w:p>
        </w:tc>
        <w:tc>
          <w:tcPr>
            <w:tcW w:w="1418" w:type="dxa"/>
            <w:tcBorders>
              <w:top w:val="nil"/>
              <w:left w:val="nil"/>
              <w:bottom w:val="single" w:sz="4" w:space="0" w:color="auto"/>
              <w:right w:val="single" w:sz="4" w:space="0" w:color="auto"/>
            </w:tcBorders>
            <w:shd w:val="clear" w:color="auto" w:fill="auto"/>
            <w:noWrap/>
            <w:vAlign w:val="bottom"/>
            <w:hideMark/>
          </w:tcPr>
          <w:p w14:paraId="2ADF013B"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5DB5D157"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3259100A"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Schopnost odložené daňové povinnosti absorbovat ztráty</w:t>
            </w:r>
          </w:p>
        </w:tc>
        <w:tc>
          <w:tcPr>
            <w:tcW w:w="708" w:type="dxa"/>
            <w:tcBorders>
              <w:top w:val="nil"/>
              <w:left w:val="nil"/>
              <w:bottom w:val="single" w:sz="4" w:space="0" w:color="auto"/>
              <w:right w:val="single" w:sz="4" w:space="0" w:color="auto"/>
            </w:tcBorders>
            <w:shd w:val="clear" w:color="auto" w:fill="auto"/>
            <w:noWrap/>
            <w:vAlign w:val="bottom"/>
            <w:hideMark/>
          </w:tcPr>
          <w:p w14:paraId="1DC91C23"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R0150</w:t>
            </w:r>
          </w:p>
        </w:tc>
        <w:tc>
          <w:tcPr>
            <w:tcW w:w="1418" w:type="dxa"/>
            <w:tcBorders>
              <w:top w:val="nil"/>
              <w:left w:val="nil"/>
              <w:bottom w:val="single" w:sz="4" w:space="0" w:color="auto"/>
              <w:right w:val="single" w:sz="4" w:space="0" w:color="auto"/>
            </w:tcBorders>
            <w:shd w:val="clear" w:color="auto" w:fill="auto"/>
            <w:noWrap/>
            <w:vAlign w:val="bottom"/>
            <w:hideMark/>
          </w:tcPr>
          <w:p w14:paraId="47492FA6"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6999C991"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232CCEE0"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Kapitálový požadavek pro pojišťovny a zajišťovny provozované v souladu se článkem 4 směrnice 2003/41/ES</w:t>
            </w:r>
          </w:p>
        </w:tc>
        <w:tc>
          <w:tcPr>
            <w:tcW w:w="708" w:type="dxa"/>
            <w:tcBorders>
              <w:top w:val="nil"/>
              <w:left w:val="nil"/>
              <w:bottom w:val="single" w:sz="4" w:space="0" w:color="auto"/>
              <w:right w:val="single" w:sz="4" w:space="0" w:color="auto"/>
            </w:tcBorders>
            <w:shd w:val="clear" w:color="auto" w:fill="auto"/>
            <w:noWrap/>
            <w:vAlign w:val="bottom"/>
            <w:hideMark/>
          </w:tcPr>
          <w:p w14:paraId="090919CE"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R0160</w:t>
            </w:r>
          </w:p>
        </w:tc>
        <w:tc>
          <w:tcPr>
            <w:tcW w:w="1418" w:type="dxa"/>
            <w:tcBorders>
              <w:top w:val="nil"/>
              <w:left w:val="nil"/>
              <w:bottom w:val="single" w:sz="4" w:space="0" w:color="auto"/>
              <w:right w:val="single" w:sz="4" w:space="0" w:color="auto"/>
            </w:tcBorders>
            <w:shd w:val="clear" w:color="auto" w:fill="auto"/>
            <w:noWrap/>
            <w:vAlign w:val="bottom"/>
            <w:hideMark/>
          </w:tcPr>
          <w:p w14:paraId="3D2FB0AE"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63A7455F"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4BD6AF05" w14:textId="77777777" w:rsidR="00D81028" w:rsidRPr="00D81028" w:rsidRDefault="00D81028" w:rsidP="00A82547">
            <w:pPr>
              <w:spacing w:before="20" w:after="20" w:line="240" w:lineRule="auto"/>
              <w:rPr>
                <w:rFonts w:eastAsia="Times New Roman" w:cstheme="minorHAnsi"/>
                <w:color w:val="000000"/>
                <w:sz w:val="16"/>
                <w:szCs w:val="16"/>
                <w:lang w:eastAsia="cs-CZ"/>
              </w:rPr>
            </w:pPr>
            <w:proofErr w:type="spellStart"/>
            <w:r w:rsidRPr="00D81028">
              <w:rPr>
                <w:rFonts w:eastAsia="Times New Roman" w:cstheme="minorHAnsi"/>
                <w:color w:val="000000"/>
                <w:sz w:val="16"/>
                <w:szCs w:val="16"/>
                <w:lang w:eastAsia="cs-CZ"/>
              </w:rPr>
              <w:t>Solventnostní</w:t>
            </w:r>
            <w:proofErr w:type="spellEnd"/>
            <w:r w:rsidRPr="00D81028">
              <w:rPr>
                <w:rFonts w:eastAsia="Times New Roman" w:cstheme="minorHAnsi"/>
                <w:color w:val="000000"/>
                <w:sz w:val="16"/>
                <w:szCs w:val="16"/>
                <w:lang w:eastAsia="cs-CZ"/>
              </w:rPr>
              <w:t xml:space="preserve"> kapitálový požadavek bez navýšení kapitálového požadavku</w:t>
            </w:r>
          </w:p>
        </w:tc>
        <w:tc>
          <w:tcPr>
            <w:tcW w:w="708" w:type="dxa"/>
            <w:tcBorders>
              <w:top w:val="nil"/>
              <w:left w:val="nil"/>
              <w:bottom w:val="single" w:sz="4" w:space="0" w:color="auto"/>
              <w:right w:val="single" w:sz="4" w:space="0" w:color="auto"/>
            </w:tcBorders>
            <w:shd w:val="clear" w:color="auto" w:fill="auto"/>
            <w:noWrap/>
            <w:vAlign w:val="bottom"/>
            <w:hideMark/>
          </w:tcPr>
          <w:p w14:paraId="06052983"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R0200</w:t>
            </w:r>
          </w:p>
        </w:tc>
        <w:tc>
          <w:tcPr>
            <w:tcW w:w="1418" w:type="dxa"/>
            <w:tcBorders>
              <w:top w:val="nil"/>
              <w:left w:val="nil"/>
              <w:bottom w:val="single" w:sz="4" w:space="0" w:color="auto"/>
              <w:right w:val="single" w:sz="4" w:space="0" w:color="auto"/>
            </w:tcBorders>
            <w:shd w:val="clear" w:color="auto" w:fill="auto"/>
            <w:noWrap/>
            <w:vAlign w:val="bottom"/>
            <w:hideMark/>
          </w:tcPr>
          <w:p w14:paraId="0F164023"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14 100 048</w:t>
            </w:r>
          </w:p>
        </w:tc>
      </w:tr>
      <w:tr w:rsidR="00D81028" w:rsidRPr="00D81028" w14:paraId="587D5E2A"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231D325E"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Již stanovená navýšení kapitálového požadavku</w:t>
            </w:r>
          </w:p>
        </w:tc>
        <w:tc>
          <w:tcPr>
            <w:tcW w:w="708" w:type="dxa"/>
            <w:tcBorders>
              <w:top w:val="nil"/>
              <w:left w:val="nil"/>
              <w:bottom w:val="single" w:sz="4" w:space="0" w:color="auto"/>
              <w:right w:val="single" w:sz="4" w:space="0" w:color="auto"/>
            </w:tcBorders>
            <w:shd w:val="clear" w:color="auto" w:fill="auto"/>
            <w:noWrap/>
            <w:vAlign w:val="bottom"/>
            <w:hideMark/>
          </w:tcPr>
          <w:p w14:paraId="3222065B"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R0210</w:t>
            </w:r>
          </w:p>
        </w:tc>
        <w:tc>
          <w:tcPr>
            <w:tcW w:w="1418" w:type="dxa"/>
            <w:tcBorders>
              <w:top w:val="nil"/>
              <w:left w:val="nil"/>
              <w:bottom w:val="single" w:sz="4" w:space="0" w:color="auto"/>
              <w:right w:val="single" w:sz="4" w:space="0" w:color="auto"/>
            </w:tcBorders>
            <w:shd w:val="clear" w:color="auto" w:fill="auto"/>
            <w:noWrap/>
            <w:vAlign w:val="bottom"/>
            <w:hideMark/>
          </w:tcPr>
          <w:p w14:paraId="5E5AB277"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6B79797C"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5C92506A" w14:textId="77777777" w:rsidR="00D81028" w:rsidRPr="00D81028" w:rsidRDefault="00D81028" w:rsidP="00A82547">
            <w:pPr>
              <w:spacing w:before="20" w:after="20" w:line="240" w:lineRule="auto"/>
              <w:rPr>
                <w:rFonts w:eastAsia="Times New Roman" w:cstheme="minorHAnsi"/>
                <w:color w:val="000000"/>
                <w:sz w:val="16"/>
                <w:szCs w:val="16"/>
                <w:lang w:eastAsia="cs-CZ"/>
              </w:rPr>
            </w:pPr>
            <w:proofErr w:type="spellStart"/>
            <w:r w:rsidRPr="00D81028">
              <w:rPr>
                <w:rFonts w:eastAsia="Times New Roman" w:cstheme="minorHAnsi"/>
                <w:color w:val="000000"/>
                <w:sz w:val="16"/>
                <w:szCs w:val="16"/>
                <w:lang w:eastAsia="cs-CZ"/>
              </w:rPr>
              <w:t>Solventnostní</w:t>
            </w:r>
            <w:proofErr w:type="spellEnd"/>
            <w:r w:rsidRPr="00D81028">
              <w:rPr>
                <w:rFonts w:eastAsia="Times New Roman" w:cstheme="minorHAnsi"/>
                <w:color w:val="000000"/>
                <w:sz w:val="16"/>
                <w:szCs w:val="16"/>
                <w:lang w:eastAsia="cs-CZ"/>
              </w:rPr>
              <w:t xml:space="preserve"> kapitálový požadavek</w:t>
            </w:r>
          </w:p>
        </w:tc>
        <w:tc>
          <w:tcPr>
            <w:tcW w:w="708" w:type="dxa"/>
            <w:tcBorders>
              <w:top w:val="nil"/>
              <w:left w:val="nil"/>
              <w:bottom w:val="single" w:sz="4" w:space="0" w:color="auto"/>
              <w:right w:val="single" w:sz="4" w:space="0" w:color="auto"/>
            </w:tcBorders>
            <w:shd w:val="clear" w:color="auto" w:fill="auto"/>
            <w:noWrap/>
            <w:vAlign w:val="bottom"/>
            <w:hideMark/>
          </w:tcPr>
          <w:p w14:paraId="7423E692"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R0220</w:t>
            </w:r>
          </w:p>
        </w:tc>
        <w:tc>
          <w:tcPr>
            <w:tcW w:w="1418" w:type="dxa"/>
            <w:tcBorders>
              <w:top w:val="nil"/>
              <w:left w:val="nil"/>
              <w:bottom w:val="single" w:sz="4" w:space="0" w:color="auto"/>
              <w:right w:val="single" w:sz="4" w:space="0" w:color="auto"/>
            </w:tcBorders>
            <w:shd w:val="clear" w:color="auto" w:fill="auto"/>
            <w:noWrap/>
            <w:vAlign w:val="bottom"/>
            <w:hideMark/>
          </w:tcPr>
          <w:p w14:paraId="205156BE"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14 100 048</w:t>
            </w:r>
          </w:p>
        </w:tc>
      </w:tr>
      <w:tr w:rsidR="00D81028" w:rsidRPr="00D81028" w14:paraId="5282D6ED"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2E36684F"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Další informace o SCR</w:t>
            </w:r>
          </w:p>
        </w:tc>
        <w:tc>
          <w:tcPr>
            <w:tcW w:w="708" w:type="dxa"/>
            <w:tcBorders>
              <w:top w:val="nil"/>
              <w:left w:val="nil"/>
              <w:bottom w:val="single" w:sz="4" w:space="0" w:color="auto"/>
              <w:right w:val="single" w:sz="4" w:space="0" w:color="auto"/>
            </w:tcBorders>
            <w:shd w:val="clear" w:color="auto" w:fill="auto"/>
            <w:noWrap/>
            <w:vAlign w:val="bottom"/>
            <w:hideMark/>
          </w:tcPr>
          <w:p w14:paraId="784C65A7"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E4B866"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09C18101"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007C32F2"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Kapitálový požadavek na </w:t>
            </w:r>
            <w:proofErr w:type="spellStart"/>
            <w:r w:rsidRPr="00D81028">
              <w:rPr>
                <w:rFonts w:eastAsia="Times New Roman" w:cstheme="minorHAnsi"/>
                <w:color w:val="000000"/>
                <w:sz w:val="16"/>
                <w:szCs w:val="16"/>
                <w:lang w:eastAsia="cs-CZ"/>
              </w:rPr>
              <w:t>podmodul</w:t>
            </w:r>
            <w:proofErr w:type="spellEnd"/>
            <w:r w:rsidRPr="00D81028">
              <w:rPr>
                <w:rFonts w:eastAsia="Times New Roman" w:cstheme="minorHAnsi"/>
                <w:color w:val="000000"/>
                <w:sz w:val="16"/>
                <w:szCs w:val="16"/>
                <w:lang w:eastAsia="cs-CZ"/>
              </w:rPr>
              <w:t xml:space="preserve"> akciového rizika založeného na trvání</w:t>
            </w:r>
          </w:p>
        </w:tc>
        <w:tc>
          <w:tcPr>
            <w:tcW w:w="708" w:type="dxa"/>
            <w:tcBorders>
              <w:top w:val="nil"/>
              <w:left w:val="nil"/>
              <w:bottom w:val="single" w:sz="4" w:space="0" w:color="auto"/>
              <w:right w:val="single" w:sz="4" w:space="0" w:color="auto"/>
            </w:tcBorders>
            <w:shd w:val="clear" w:color="auto" w:fill="auto"/>
            <w:noWrap/>
            <w:vAlign w:val="bottom"/>
            <w:hideMark/>
          </w:tcPr>
          <w:p w14:paraId="37BB1028"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R0400</w:t>
            </w:r>
          </w:p>
        </w:tc>
        <w:tc>
          <w:tcPr>
            <w:tcW w:w="1418" w:type="dxa"/>
            <w:tcBorders>
              <w:top w:val="nil"/>
              <w:left w:val="nil"/>
              <w:bottom w:val="single" w:sz="4" w:space="0" w:color="auto"/>
              <w:right w:val="single" w:sz="4" w:space="0" w:color="auto"/>
            </w:tcBorders>
            <w:shd w:val="clear" w:color="auto" w:fill="auto"/>
            <w:noWrap/>
            <w:vAlign w:val="bottom"/>
            <w:hideMark/>
          </w:tcPr>
          <w:p w14:paraId="1E67A8C0"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12AA9EF2"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5F7EC021"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Celková částka fiktivních </w:t>
            </w:r>
            <w:proofErr w:type="spellStart"/>
            <w:r w:rsidRPr="00D81028">
              <w:rPr>
                <w:rFonts w:eastAsia="Times New Roman" w:cstheme="minorHAnsi"/>
                <w:color w:val="000000"/>
                <w:sz w:val="16"/>
                <w:szCs w:val="16"/>
                <w:lang w:eastAsia="cs-CZ"/>
              </w:rPr>
              <w:t>solventnostních</w:t>
            </w:r>
            <w:proofErr w:type="spellEnd"/>
            <w:r w:rsidRPr="00D81028">
              <w:rPr>
                <w:rFonts w:eastAsia="Times New Roman" w:cstheme="minorHAnsi"/>
                <w:color w:val="000000"/>
                <w:sz w:val="16"/>
                <w:szCs w:val="16"/>
                <w:lang w:eastAsia="cs-CZ"/>
              </w:rPr>
              <w:t xml:space="preserve"> kapitálových požadavků pro zbývající část</w:t>
            </w:r>
          </w:p>
        </w:tc>
        <w:tc>
          <w:tcPr>
            <w:tcW w:w="708" w:type="dxa"/>
            <w:tcBorders>
              <w:top w:val="nil"/>
              <w:left w:val="nil"/>
              <w:bottom w:val="single" w:sz="4" w:space="0" w:color="auto"/>
              <w:right w:val="single" w:sz="4" w:space="0" w:color="auto"/>
            </w:tcBorders>
            <w:shd w:val="clear" w:color="auto" w:fill="auto"/>
            <w:noWrap/>
            <w:vAlign w:val="bottom"/>
            <w:hideMark/>
          </w:tcPr>
          <w:p w14:paraId="1C9D97BE"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R0410</w:t>
            </w:r>
          </w:p>
        </w:tc>
        <w:tc>
          <w:tcPr>
            <w:tcW w:w="1418" w:type="dxa"/>
            <w:tcBorders>
              <w:top w:val="nil"/>
              <w:left w:val="nil"/>
              <w:bottom w:val="single" w:sz="4" w:space="0" w:color="auto"/>
              <w:right w:val="single" w:sz="4" w:space="0" w:color="auto"/>
            </w:tcBorders>
            <w:shd w:val="clear" w:color="auto" w:fill="auto"/>
            <w:noWrap/>
            <w:vAlign w:val="bottom"/>
            <w:hideMark/>
          </w:tcPr>
          <w:p w14:paraId="64D3211F"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7FD94881"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36A066FB"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Celková částka fiktivních </w:t>
            </w:r>
            <w:proofErr w:type="spellStart"/>
            <w:r w:rsidRPr="00D81028">
              <w:rPr>
                <w:rFonts w:eastAsia="Times New Roman" w:cstheme="minorHAnsi"/>
                <w:color w:val="000000"/>
                <w:sz w:val="16"/>
                <w:szCs w:val="16"/>
                <w:lang w:eastAsia="cs-CZ"/>
              </w:rPr>
              <w:t>solventnostních</w:t>
            </w:r>
            <w:proofErr w:type="spellEnd"/>
            <w:r w:rsidRPr="00D81028">
              <w:rPr>
                <w:rFonts w:eastAsia="Times New Roman" w:cstheme="minorHAnsi"/>
                <w:color w:val="000000"/>
                <w:sz w:val="16"/>
                <w:szCs w:val="16"/>
                <w:lang w:eastAsia="cs-CZ"/>
              </w:rPr>
              <w:t xml:space="preserve"> kapitálových požadavků pro účelově vázané fondy</w:t>
            </w:r>
          </w:p>
        </w:tc>
        <w:tc>
          <w:tcPr>
            <w:tcW w:w="708" w:type="dxa"/>
            <w:tcBorders>
              <w:top w:val="nil"/>
              <w:left w:val="nil"/>
              <w:bottom w:val="single" w:sz="4" w:space="0" w:color="auto"/>
              <w:right w:val="single" w:sz="4" w:space="0" w:color="auto"/>
            </w:tcBorders>
            <w:shd w:val="clear" w:color="auto" w:fill="auto"/>
            <w:noWrap/>
            <w:vAlign w:val="bottom"/>
            <w:hideMark/>
          </w:tcPr>
          <w:p w14:paraId="429B8672"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R0420</w:t>
            </w:r>
          </w:p>
        </w:tc>
        <w:tc>
          <w:tcPr>
            <w:tcW w:w="1418" w:type="dxa"/>
            <w:tcBorders>
              <w:top w:val="nil"/>
              <w:left w:val="nil"/>
              <w:bottom w:val="single" w:sz="4" w:space="0" w:color="auto"/>
              <w:right w:val="single" w:sz="4" w:space="0" w:color="auto"/>
            </w:tcBorders>
            <w:shd w:val="clear" w:color="auto" w:fill="auto"/>
            <w:noWrap/>
            <w:vAlign w:val="bottom"/>
            <w:hideMark/>
          </w:tcPr>
          <w:p w14:paraId="6381A664"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7E0692A7"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4DBF7892"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Celková částka fiktivních </w:t>
            </w:r>
            <w:proofErr w:type="spellStart"/>
            <w:r w:rsidRPr="00D81028">
              <w:rPr>
                <w:rFonts w:eastAsia="Times New Roman" w:cstheme="minorHAnsi"/>
                <w:color w:val="000000"/>
                <w:sz w:val="16"/>
                <w:szCs w:val="16"/>
                <w:lang w:eastAsia="cs-CZ"/>
              </w:rPr>
              <w:t>solventnostních</w:t>
            </w:r>
            <w:proofErr w:type="spellEnd"/>
            <w:r w:rsidRPr="00D81028">
              <w:rPr>
                <w:rFonts w:eastAsia="Times New Roman" w:cstheme="minorHAnsi"/>
                <w:color w:val="000000"/>
                <w:sz w:val="16"/>
                <w:szCs w:val="16"/>
                <w:lang w:eastAsia="cs-CZ"/>
              </w:rPr>
              <w:t xml:space="preserve"> kapitálových požadavků pro portfolia vyrovnávací úpravy</w:t>
            </w:r>
          </w:p>
        </w:tc>
        <w:tc>
          <w:tcPr>
            <w:tcW w:w="708" w:type="dxa"/>
            <w:tcBorders>
              <w:top w:val="nil"/>
              <w:left w:val="nil"/>
              <w:bottom w:val="single" w:sz="4" w:space="0" w:color="auto"/>
              <w:right w:val="single" w:sz="4" w:space="0" w:color="auto"/>
            </w:tcBorders>
            <w:shd w:val="clear" w:color="auto" w:fill="auto"/>
            <w:noWrap/>
            <w:vAlign w:val="bottom"/>
            <w:hideMark/>
          </w:tcPr>
          <w:p w14:paraId="45814EAF"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R0430</w:t>
            </w:r>
          </w:p>
        </w:tc>
        <w:tc>
          <w:tcPr>
            <w:tcW w:w="1418" w:type="dxa"/>
            <w:tcBorders>
              <w:top w:val="nil"/>
              <w:left w:val="nil"/>
              <w:bottom w:val="single" w:sz="4" w:space="0" w:color="auto"/>
              <w:right w:val="single" w:sz="4" w:space="0" w:color="auto"/>
            </w:tcBorders>
            <w:shd w:val="clear" w:color="auto" w:fill="auto"/>
            <w:noWrap/>
            <w:vAlign w:val="bottom"/>
            <w:hideMark/>
          </w:tcPr>
          <w:p w14:paraId="0CB45AA8"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7725E791"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5D3516A3"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Diverzifikační efekty v důsledku agregace účelově vázaných fondů (RFF) a fiktivních </w:t>
            </w:r>
            <w:proofErr w:type="spellStart"/>
            <w:r w:rsidRPr="00D81028">
              <w:rPr>
                <w:rFonts w:eastAsia="Times New Roman" w:cstheme="minorHAnsi"/>
                <w:color w:val="000000"/>
                <w:sz w:val="16"/>
                <w:szCs w:val="16"/>
                <w:lang w:eastAsia="cs-CZ"/>
              </w:rPr>
              <w:t>solventnostních</w:t>
            </w:r>
            <w:proofErr w:type="spellEnd"/>
            <w:r w:rsidRPr="00D81028">
              <w:rPr>
                <w:rFonts w:eastAsia="Times New Roman" w:cstheme="minorHAnsi"/>
                <w:color w:val="000000"/>
                <w:sz w:val="16"/>
                <w:szCs w:val="16"/>
                <w:lang w:eastAsia="cs-CZ"/>
              </w:rPr>
              <w:t xml:space="preserve"> kapitálových požadavků (</w:t>
            </w:r>
            <w:proofErr w:type="spellStart"/>
            <w:r w:rsidRPr="00D81028">
              <w:rPr>
                <w:rFonts w:eastAsia="Times New Roman" w:cstheme="minorHAnsi"/>
                <w:color w:val="000000"/>
                <w:sz w:val="16"/>
                <w:szCs w:val="16"/>
                <w:lang w:eastAsia="cs-CZ"/>
              </w:rPr>
              <w:t>nSCR</w:t>
            </w:r>
            <w:proofErr w:type="spellEnd"/>
            <w:r w:rsidRPr="00D81028">
              <w:rPr>
                <w:rFonts w:eastAsia="Times New Roman" w:cstheme="minorHAnsi"/>
                <w:color w:val="000000"/>
                <w:sz w:val="16"/>
                <w:szCs w:val="16"/>
                <w:lang w:eastAsia="cs-CZ"/>
              </w:rPr>
              <w:t>) pro článek 304</w:t>
            </w:r>
          </w:p>
        </w:tc>
        <w:tc>
          <w:tcPr>
            <w:tcW w:w="708" w:type="dxa"/>
            <w:tcBorders>
              <w:top w:val="nil"/>
              <w:left w:val="nil"/>
              <w:bottom w:val="single" w:sz="4" w:space="0" w:color="auto"/>
              <w:right w:val="single" w:sz="4" w:space="0" w:color="auto"/>
            </w:tcBorders>
            <w:shd w:val="clear" w:color="auto" w:fill="auto"/>
            <w:noWrap/>
            <w:vAlign w:val="bottom"/>
            <w:hideMark/>
          </w:tcPr>
          <w:p w14:paraId="58B262B9"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R0440</w:t>
            </w:r>
          </w:p>
        </w:tc>
        <w:tc>
          <w:tcPr>
            <w:tcW w:w="1418" w:type="dxa"/>
            <w:tcBorders>
              <w:top w:val="nil"/>
              <w:left w:val="nil"/>
              <w:bottom w:val="single" w:sz="4" w:space="0" w:color="auto"/>
              <w:right w:val="single" w:sz="4" w:space="0" w:color="auto"/>
            </w:tcBorders>
            <w:shd w:val="clear" w:color="auto" w:fill="auto"/>
            <w:noWrap/>
            <w:vAlign w:val="bottom"/>
            <w:hideMark/>
          </w:tcPr>
          <w:p w14:paraId="4E82488B"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19B663EE"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0431952C"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 xml:space="preserve">Metoda použitá k výpočtu úpravy v důsledku agregace fiktivního </w:t>
            </w:r>
            <w:proofErr w:type="spellStart"/>
            <w:r w:rsidRPr="00D81028">
              <w:rPr>
                <w:rFonts w:eastAsia="Times New Roman" w:cstheme="minorHAnsi"/>
                <w:color w:val="000000"/>
                <w:sz w:val="16"/>
                <w:szCs w:val="16"/>
                <w:lang w:eastAsia="cs-CZ"/>
              </w:rPr>
              <w:t>solventnostního</w:t>
            </w:r>
            <w:proofErr w:type="spellEnd"/>
            <w:r w:rsidRPr="00D81028">
              <w:rPr>
                <w:rFonts w:eastAsia="Times New Roman" w:cstheme="minorHAnsi"/>
                <w:color w:val="000000"/>
                <w:sz w:val="16"/>
                <w:szCs w:val="16"/>
                <w:lang w:eastAsia="cs-CZ"/>
              </w:rPr>
              <w:t xml:space="preserve"> požadavku pro účelově vázané fondy nebo portfolia vyrovnávací úpravy</w:t>
            </w:r>
          </w:p>
        </w:tc>
        <w:tc>
          <w:tcPr>
            <w:tcW w:w="708" w:type="dxa"/>
            <w:tcBorders>
              <w:top w:val="nil"/>
              <w:left w:val="nil"/>
              <w:bottom w:val="single" w:sz="4" w:space="0" w:color="auto"/>
              <w:right w:val="single" w:sz="4" w:space="0" w:color="auto"/>
            </w:tcBorders>
            <w:shd w:val="clear" w:color="auto" w:fill="auto"/>
            <w:noWrap/>
            <w:vAlign w:val="bottom"/>
            <w:hideMark/>
          </w:tcPr>
          <w:p w14:paraId="7D34773F"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R0450</w:t>
            </w:r>
          </w:p>
        </w:tc>
        <w:tc>
          <w:tcPr>
            <w:tcW w:w="1418" w:type="dxa"/>
            <w:tcBorders>
              <w:top w:val="nil"/>
              <w:left w:val="nil"/>
              <w:bottom w:val="single" w:sz="4" w:space="0" w:color="auto"/>
              <w:right w:val="single" w:sz="4" w:space="0" w:color="auto"/>
            </w:tcBorders>
            <w:shd w:val="clear" w:color="auto" w:fill="auto"/>
            <w:noWrap/>
            <w:vAlign w:val="bottom"/>
            <w:hideMark/>
          </w:tcPr>
          <w:p w14:paraId="60CFA9EA"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r w:rsidR="00D81028" w:rsidRPr="00D81028" w14:paraId="284D44C0" w14:textId="77777777" w:rsidTr="00260EC7">
        <w:tc>
          <w:tcPr>
            <w:tcW w:w="7230" w:type="dxa"/>
            <w:tcBorders>
              <w:top w:val="nil"/>
              <w:left w:val="single" w:sz="4" w:space="0" w:color="auto"/>
              <w:bottom w:val="single" w:sz="4" w:space="0" w:color="auto"/>
              <w:right w:val="single" w:sz="4" w:space="0" w:color="auto"/>
            </w:tcBorders>
            <w:shd w:val="clear" w:color="auto" w:fill="auto"/>
            <w:vAlign w:val="bottom"/>
            <w:hideMark/>
          </w:tcPr>
          <w:p w14:paraId="052466D9" w14:textId="77777777" w:rsidR="00D81028" w:rsidRPr="00D81028" w:rsidRDefault="00D81028" w:rsidP="00A82547">
            <w:pPr>
              <w:spacing w:before="20" w:after="20" w:line="240" w:lineRule="auto"/>
              <w:ind w:firstLineChars="100" w:firstLine="160"/>
              <w:rPr>
                <w:rFonts w:eastAsia="Times New Roman" w:cstheme="minorHAnsi"/>
                <w:color w:val="000000"/>
                <w:sz w:val="16"/>
                <w:szCs w:val="16"/>
                <w:lang w:eastAsia="cs-CZ"/>
              </w:rPr>
            </w:pPr>
            <w:r w:rsidRPr="00D81028">
              <w:rPr>
                <w:rFonts w:eastAsia="Times New Roman" w:cstheme="minorHAnsi"/>
                <w:color w:val="000000"/>
                <w:sz w:val="16"/>
                <w:szCs w:val="16"/>
                <w:lang w:eastAsia="cs-CZ"/>
              </w:rPr>
              <w:t>Čisté budoucí nezaručené podíly na zisku</w:t>
            </w:r>
          </w:p>
        </w:tc>
        <w:tc>
          <w:tcPr>
            <w:tcW w:w="708" w:type="dxa"/>
            <w:tcBorders>
              <w:top w:val="nil"/>
              <w:left w:val="nil"/>
              <w:bottom w:val="single" w:sz="4" w:space="0" w:color="auto"/>
              <w:right w:val="single" w:sz="4" w:space="0" w:color="auto"/>
            </w:tcBorders>
            <w:shd w:val="clear" w:color="auto" w:fill="auto"/>
            <w:noWrap/>
            <w:vAlign w:val="bottom"/>
            <w:hideMark/>
          </w:tcPr>
          <w:p w14:paraId="608A4DF3" w14:textId="77777777" w:rsidR="00D81028" w:rsidRPr="00D81028" w:rsidRDefault="00D81028" w:rsidP="00A82547">
            <w:pPr>
              <w:spacing w:before="20" w:after="20" w:line="240" w:lineRule="auto"/>
              <w:jc w:val="center"/>
              <w:rPr>
                <w:rFonts w:eastAsia="Times New Roman" w:cstheme="minorHAnsi"/>
                <w:color w:val="000000"/>
                <w:sz w:val="16"/>
                <w:szCs w:val="16"/>
                <w:lang w:eastAsia="cs-CZ"/>
              </w:rPr>
            </w:pPr>
            <w:r w:rsidRPr="00D81028">
              <w:rPr>
                <w:rFonts w:eastAsia="Times New Roman" w:cstheme="minorHAnsi"/>
                <w:color w:val="000000"/>
                <w:sz w:val="16"/>
                <w:szCs w:val="16"/>
                <w:lang w:eastAsia="cs-CZ"/>
              </w:rPr>
              <w:t>R0460</w:t>
            </w:r>
          </w:p>
        </w:tc>
        <w:tc>
          <w:tcPr>
            <w:tcW w:w="1418" w:type="dxa"/>
            <w:tcBorders>
              <w:top w:val="nil"/>
              <w:left w:val="nil"/>
              <w:bottom w:val="single" w:sz="4" w:space="0" w:color="auto"/>
              <w:right w:val="single" w:sz="4" w:space="0" w:color="auto"/>
            </w:tcBorders>
            <w:shd w:val="clear" w:color="auto" w:fill="auto"/>
            <w:noWrap/>
            <w:vAlign w:val="bottom"/>
            <w:hideMark/>
          </w:tcPr>
          <w:p w14:paraId="34DD492E" w14:textId="77777777" w:rsidR="00D81028" w:rsidRPr="00D81028" w:rsidRDefault="00D81028" w:rsidP="00A82547">
            <w:pPr>
              <w:spacing w:before="20" w:after="20" w:line="240" w:lineRule="auto"/>
              <w:rPr>
                <w:rFonts w:eastAsia="Times New Roman" w:cstheme="minorHAnsi"/>
                <w:color w:val="000000"/>
                <w:sz w:val="16"/>
                <w:szCs w:val="16"/>
                <w:lang w:eastAsia="cs-CZ"/>
              </w:rPr>
            </w:pPr>
            <w:r w:rsidRPr="00D81028">
              <w:rPr>
                <w:rFonts w:eastAsia="Times New Roman" w:cstheme="minorHAnsi"/>
                <w:color w:val="000000"/>
                <w:sz w:val="16"/>
                <w:szCs w:val="16"/>
                <w:lang w:eastAsia="cs-CZ"/>
              </w:rPr>
              <w:t> </w:t>
            </w:r>
          </w:p>
        </w:tc>
      </w:tr>
    </w:tbl>
    <w:p w14:paraId="4AFA2CF0" w14:textId="77777777" w:rsidR="00FA5B54" w:rsidRDefault="00FA5B54" w:rsidP="00FA5B54"/>
    <w:p w14:paraId="7A9AD929" w14:textId="77777777" w:rsidR="00FA5B54" w:rsidRDefault="00FA5B54" w:rsidP="00FA5B54"/>
    <w:p w14:paraId="218A0244" w14:textId="77777777" w:rsidR="00FA5B54" w:rsidRDefault="00FA5B54" w:rsidP="00FA5B54"/>
    <w:p w14:paraId="4685B4A8" w14:textId="77777777" w:rsidR="00FA5B54" w:rsidRDefault="00FA5B54" w:rsidP="00FA5B54"/>
    <w:p w14:paraId="12707597" w14:textId="77777777" w:rsidR="00FA5B54" w:rsidRDefault="00FA5B54" w:rsidP="00FA5B54"/>
    <w:p w14:paraId="7F5BCC30" w14:textId="77777777" w:rsidR="00FA5B54" w:rsidRDefault="00FA5B54" w:rsidP="00FA5B54"/>
    <w:p w14:paraId="7FB53F53" w14:textId="77777777" w:rsidR="00FA5B54" w:rsidRDefault="00FA5B54" w:rsidP="00FA5B54"/>
    <w:p w14:paraId="605C4555" w14:textId="3F395B34" w:rsidR="00FA5B54" w:rsidRDefault="00FA5B54" w:rsidP="00E9066F">
      <w:pPr>
        <w:pStyle w:val="Nadpis2"/>
        <w:rPr>
          <w:color w:val="auto"/>
        </w:rPr>
      </w:pPr>
      <w:bookmarkStart w:id="48" w:name="_Toc75366912"/>
      <w:r w:rsidRPr="00B53F34">
        <w:rPr>
          <w:color w:val="auto"/>
        </w:rPr>
        <w:lastRenderedPageBreak/>
        <w:t>S.28.01.01 Minimální kapitálový požadavek (MCR) – pouze životní (L) nebo pouze neživotní (NL) pojištění nebo zajištění</w:t>
      </w:r>
      <w:bookmarkEnd w:id="48"/>
    </w:p>
    <w:p w14:paraId="166CB6F4" w14:textId="77777777" w:rsidR="006144E8" w:rsidRPr="006144E8" w:rsidRDefault="006144E8" w:rsidP="006144E8"/>
    <w:tbl>
      <w:tblPr>
        <w:tblW w:w="7938" w:type="dxa"/>
        <w:tblCellMar>
          <w:left w:w="70" w:type="dxa"/>
          <w:right w:w="70" w:type="dxa"/>
        </w:tblCellMar>
        <w:tblLook w:val="04A0" w:firstRow="1" w:lastRow="0" w:firstColumn="1" w:lastColumn="0" w:noHBand="0" w:noVBand="1"/>
      </w:tblPr>
      <w:tblGrid>
        <w:gridCol w:w="2381"/>
        <w:gridCol w:w="924"/>
        <w:gridCol w:w="4633"/>
      </w:tblGrid>
      <w:tr w:rsidR="008E6AFC" w:rsidRPr="008E6AFC" w14:paraId="0134D67D" w14:textId="77777777" w:rsidTr="00E9066F">
        <w:tc>
          <w:tcPr>
            <w:tcW w:w="7938" w:type="dxa"/>
            <w:gridSpan w:val="3"/>
            <w:tcBorders>
              <w:top w:val="nil"/>
              <w:left w:val="nil"/>
              <w:bottom w:val="nil"/>
              <w:right w:val="nil"/>
            </w:tcBorders>
            <w:shd w:val="clear" w:color="auto" w:fill="auto"/>
            <w:noWrap/>
            <w:vAlign w:val="bottom"/>
            <w:hideMark/>
          </w:tcPr>
          <w:p w14:paraId="11C65844" w14:textId="53D0F338" w:rsidR="008E6AFC" w:rsidRPr="008E6AFC" w:rsidRDefault="008E6AFC" w:rsidP="008E6AFC">
            <w:pPr>
              <w:spacing w:after="0" w:line="240" w:lineRule="auto"/>
              <w:rPr>
                <w:rFonts w:ascii="Calibri" w:eastAsia="Times New Roman" w:hAnsi="Calibri" w:cs="Calibri"/>
                <w:b/>
                <w:bCs/>
                <w:color w:val="000000"/>
                <w:sz w:val="20"/>
                <w:szCs w:val="20"/>
                <w:lang w:eastAsia="cs-CZ"/>
              </w:rPr>
            </w:pPr>
            <w:r w:rsidRPr="008E6AFC">
              <w:rPr>
                <w:rFonts w:ascii="Calibri" w:eastAsia="Times New Roman" w:hAnsi="Calibri" w:cs="Calibri"/>
                <w:b/>
                <w:bCs/>
                <w:color w:val="000000"/>
                <w:sz w:val="20"/>
                <w:szCs w:val="20"/>
                <w:lang w:eastAsia="cs-CZ"/>
              </w:rPr>
              <w:t>Lineární složka vzorce pro závazky z neživotního pojištění a zajištění</w:t>
            </w:r>
          </w:p>
        </w:tc>
      </w:tr>
      <w:tr w:rsidR="008E6AFC" w:rsidRPr="008E6AFC" w14:paraId="57CA6E6C" w14:textId="77777777" w:rsidTr="00E9066F">
        <w:tc>
          <w:tcPr>
            <w:tcW w:w="2381" w:type="dxa"/>
            <w:tcBorders>
              <w:top w:val="nil"/>
              <w:left w:val="nil"/>
              <w:bottom w:val="nil"/>
              <w:right w:val="nil"/>
            </w:tcBorders>
            <w:shd w:val="clear" w:color="auto" w:fill="auto"/>
            <w:noWrap/>
            <w:vAlign w:val="bottom"/>
            <w:hideMark/>
          </w:tcPr>
          <w:p w14:paraId="63152C36" w14:textId="77777777" w:rsidR="008E6AFC" w:rsidRPr="008E6AFC" w:rsidRDefault="008E6AFC" w:rsidP="008E6AFC">
            <w:pPr>
              <w:spacing w:after="0" w:line="240" w:lineRule="auto"/>
              <w:rPr>
                <w:rFonts w:ascii="Calibri" w:eastAsia="Times New Roman" w:hAnsi="Calibri" w:cs="Calibri"/>
                <w:b/>
                <w:bCs/>
                <w:color w:val="000000"/>
                <w:sz w:val="20"/>
                <w:szCs w:val="20"/>
                <w:lang w:eastAsia="cs-CZ"/>
              </w:rPr>
            </w:pPr>
          </w:p>
        </w:tc>
        <w:tc>
          <w:tcPr>
            <w:tcW w:w="924" w:type="dxa"/>
            <w:tcBorders>
              <w:top w:val="nil"/>
              <w:left w:val="nil"/>
              <w:bottom w:val="nil"/>
              <w:right w:val="nil"/>
            </w:tcBorders>
            <w:shd w:val="clear" w:color="auto" w:fill="auto"/>
            <w:noWrap/>
            <w:vAlign w:val="bottom"/>
            <w:hideMark/>
          </w:tcPr>
          <w:p w14:paraId="3E4DF34D" w14:textId="77777777" w:rsidR="008E6AFC" w:rsidRPr="008E6AFC" w:rsidRDefault="008E6AFC" w:rsidP="008E6AFC">
            <w:pPr>
              <w:spacing w:after="0" w:line="240" w:lineRule="auto"/>
              <w:rPr>
                <w:rFonts w:ascii="Times New Roman" w:eastAsia="Times New Roman" w:hAnsi="Times New Roman" w:cs="Times New Roman"/>
                <w:sz w:val="20"/>
                <w:szCs w:val="20"/>
                <w:lang w:eastAsia="cs-CZ"/>
              </w:rPr>
            </w:pPr>
          </w:p>
        </w:tc>
        <w:tc>
          <w:tcPr>
            <w:tcW w:w="4633" w:type="dxa"/>
            <w:tcBorders>
              <w:top w:val="nil"/>
              <w:left w:val="nil"/>
              <w:bottom w:val="nil"/>
              <w:right w:val="nil"/>
            </w:tcBorders>
            <w:shd w:val="clear" w:color="auto" w:fill="auto"/>
            <w:noWrap/>
            <w:vAlign w:val="bottom"/>
            <w:hideMark/>
          </w:tcPr>
          <w:p w14:paraId="4F7BB48D" w14:textId="77777777" w:rsidR="008E6AFC" w:rsidRPr="008E6AFC" w:rsidRDefault="008E6AFC" w:rsidP="008E6AFC">
            <w:pPr>
              <w:spacing w:after="0" w:line="240" w:lineRule="auto"/>
              <w:rPr>
                <w:rFonts w:ascii="Times New Roman" w:eastAsia="Times New Roman" w:hAnsi="Times New Roman" w:cs="Times New Roman"/>
                <w:sz w:val="20"/>
                <w:szCs w:val="20"/>
                <w:lang w:eastAsia="cs-CZ"/>
              </w:rPr>
            </w:pPr>
          </w:p>
        </w:tc>
      </w:tr>
      <w:tr w:rsidR="008E6AFC" w:rsidRPr="008E6AFC" w14:paraId="7197D167" w14:textId="77777777" w:rsidTr="00E9066F">
        <w:tc>
          <w:tcPr>
            <w:tcW w:w="2381" w:type="dxa"/>
            <w:tcBorders>
              <w:top w:val="nil"/>
              <w:left w:val="nil"/>
              <w:bottom w:val="nil"/>
              <w:right w:val="nil"/>
            </w:tcBorders>
            <w:shd w:val="clear" w:color="auto" w:fill="auto"/>
            <w:noWrap/>
            <w:vAlign w:val="bottom"/>
            <w:hideMark/>
          </w:tcPr>
          <w:p w14:paraId="0BFAFFFA" w14:textId="77777777" w:rsidR="008E6AFC" w:rsidRPr="008E6AFC" w:rsidRDefault="008E6AFC" w:rsidP="008E6AFC">
            <w:pPr>
              <w:spacing w:after="0" w:line="240" w:lineRule="auto"/>
              <w:rPr>
                <w:rFonts w:ascii="Times New Roman" w:eastAsia="Times New Roman" w:hAnsi="Times New Roman" w:cs="Times New Roman"/>
                <w:sz w:val="20"/>
                <w:szCs w:val="20"/>
                <w:lang w:eastAsia="cs-CZ"/>
              </w:rPr>
            </w:pPr>
          </w:p>
        </w:tc>
        <w:tc>
          <w:tcPr>
            <w:tcW w:w="924" w:type="dxa"/>
            <w:tcBorders>
              <w:top w:val="nil"/>
              <w:left w:val="nil"/>
              <w:bottom w:val="nil"/>
              <w:right w:val="nil"/>
            </w:tcBorders>
            <w:shd w:val="clear" w:color="auto" w:fill="auto"/>
            <w:noWrap/>
            <w:vAlign w:val="bottom"/>
            <w:hideMark/>
          </w:tcPr>
          <w:p w14:paraId="373ACC06" w14:textId="77777777" w:rsidR="008E6AFC" w:rsidRPr="008E6AFC" w:rsidRDefault="008E6AFC" w:rsidP="008E6AFC">
            <w:pPr>
              <w:spacing w:after="0" w:line="240" w:lineRule="auto"/>
              <w:rPr>
                <w:rFonts w:ascii="Times New Roman" w:eastAsia="Times New Roman" w:hAnsi="Times New Roman" w:cs="Times New Roman"/>
                <w:sz w:val="20"/>
                <w:szCs w:val="20"/>
                <w:lang w:eastAsia="cs-CZ"/>
              </w:rPr>
            </w:pPr>
          </w:p>
        </w:tc>
        <w:tc>
          <w:tcPr>
            <w:tcW w:w="4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D07A"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r w:rsidRPr="008E6AFC">
              <w:rPr>
                <w:rFonts w:ascii="Calibri" w:eastAsia="Times New Roman" w:hAnsi="Calibri" w:cs="Calibri"/>
                <w:color w:val="000000"/>
                <w:sz w:val="20"/>
                <w:szCs w:val="20"/>
                <w:lang w:eastAsia="cs-CZ"/>
              </w:rPr>
              <w:t xml:space="preserve">MCR </w:t>
            </w:r>
            <w:proofErr w:type="spellStart"/>
            <w:r w:rsidRPr="008E6AFC">
              <w:rPr>
                <w:rFonts w:ascii="Calibri" w:eastAsia="Times New Roman" w:hAnsi="Calibri" w:cs="Calibri"/>
                <w:color w:val="000000"/>
                <w:sz w:val="20"/>
                <w:szCs w:val="20"/>
                <w:lang w:eastAsia="cs-CZ"/>
              </w:rPr>
              <w:t>components</w:t>
            </w:r>
            <w:proofErr w:type="spellEnd"/>
          </w:p>
        </w:tc>
      </w:tr>
      <w:tr w:rsidR="008E6AFC" w:rsidRPr="008E6AFC" w14:paraId="51C07BEE" w14:textId="77777777" w:rsidTr="00E9066F">
        <w:tc>
          <w:tcPr>
            <w:tcW w:w="2381" w:type="dxa"/>
            <w:tcBorders>
              <w:top w:val="nil"/>
              <w:left w:val="nil"/>
              <w:bottom w:val="nil"/>
              <w:right w:val="nil"/>
            </w:tcBorders>
            <w:shd w:val="clear" w:color="auto" w:fill="auto"/>
            <w:noWrap/>
            <w:vAlign w:val="bottom"/>
            <w:hideMark/>
          </w:tcPr>
          <w:p w14:paraId="68494AA3"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p>
        </w:tc>
        <w:tc>
          <w:tcPr>
            <w:tcW w:w="924" w:type="dxa"/>
            <w:tcBorders>
              <w:top w:val="nil"/>
              <w:left w:val="nil"/>
              <w:bottom w:val="nil"/>
              <w:right w:val="nil"/>
            </w:tcBorders>
            <w:shd w:val="clear" w:color="auto" w:fill="auto"/>
            <w:noWrap/>
            <w:vAlign w:val="bottom"/>
            <w:hideMark/>
          </w:tcPr>
          <w:p w14:paraId="5EC1308C" w14:textId="77777777" w:rsidR="008E6AFC" w:rsidRPr="008E6AFC" w:rsidRDefault="008E6AFC" w:rsidP="008E6AFC">
            <w:pPr>
              <w:spacing w:after="0" w:line="240" w:lineRule="auto"/>
              <w:rPr>
                <w:rFonts w:ascii="Times New Roman" w:eastAsia="Times New Roman" w:hAnsi="Times New Roman" w:cs="Times New Roman"/>
                <w:sz w:val="20"/>
                <w:szCs w:val="20"/>
                <w:lang w:eastAsia="cs-CZ"/>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14:paraId="347042D4"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r w:rsidRPr="008E6AFC">
              <w:rPr>
                <w:rFonts w:ascii="Calibri" w:eastAsia="Times New Roman" w:hAnsi="Calibri" w:cs="Calibri"/>
                <w:color w:val="000000"/>
                <w:sz w:val="20"/>
                <w:szCs w:val="20"/>
                <w:lang w:eastAsia="cs-CZ"/>
              </w:rPr>
              <w:t>C0010</w:t>
            </w:r>
          </w:p>
        </w:tc>
      </w:tr>
      <w:tr w:rsidR="008E6AFC" w:rsidRPr="008E6AFC" w14:paraId="6E6C7A0E" w14:textId="77777777" w:rsidTr="00E9066F">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4D26"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r w:rsidRPr="008E6AFC">
              <w:rPr>
                <w:rFonts w:ascii="Calibri" w:eastAsia="Times New Roman" w:hAnsi="Calibri" w:cs="Calibri"/>
                <w:color w:val="000000"/>
                <w:sz w:val="20"/>
                <w:szCs w:val="20"/>
                <w:lang w:eastAsia="cs-CZ"/>
              </w:rPr>
              <w:t>MCRNL Výsledek</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431F9607"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r w:rsidRPr="008E6AFC">
              <w:rPr>
                <w:rFonts w:ascii="Calibri" w:eastAsia="Times New Roman" w:hAnsi="Calibri" w:cs="Calibri"/>
                <w:color w:val="000000"/>
                <w:sz w:val="20"/>
                <w:szCs w:val="20"/>
                <w:lang w:eastAsia="cs-CZ"/>
              </w:rPr>
              <w:t>R0010</w:t>
            </w:r>
          </w:p>
        </w:tc>
        <w:tc>
          <w:tcPr>
            <w:tcW w:w="4633" w:type="dxa"/>
            <w:tcBorders>
              <w:top w:val="nil"/>
              <w:left w:val="nil"/>
              <w:bottom w:val="single" w:sz="4" w:space="0" w:color="auto"/>
              <w:right w:val="single" w:sz="4" w:space="0" w:color="auto"/>
            </w:tcBorders>
            <w:shd w:val="clear" w:color="auto" w:fill="auto"/>
            <w:noWrap/>
            <w:vAlign w:val="bottom"/>
            <w:hideMark/>
          </w:tcPr>
          <w:p w14:paraId="2DCB619C" w14:textId="77777777" w:rsidR="008E6AFC" w:rsidRPr="008E6AFC" w:rsidRDefault="008E6AFC" w:rsidP="008E6AFC">
            <w:pPr>
              <w:spacing w:after="0" w:line="240" w:lineRule="auto"/>
              <w:jc w:val="center"/>
              <w:rPr>
                <w:rFonts w:ascii="Calibri" w:eastAsia="Times New Roman" w:hAnsi="Calibri" w:cs="Calibri"/>
                <w:color w:val="000000"/>
                <w:sz w:val="20"/>
                <w:szCs w:val="20"/>
                <w:lang w:eastAsia="cs-CZ"/>
              </w:rPr>
            </w:pPr>
            <w:r w:rsidRPr="008E6AFC">
              <w:rPr>
                <w:rFonts w:ascii="Calibri" w:eastAsia="Times New Roman" w:hAnsi="Calibri" w:cs="Calibri"/>
                <w:color w:val="000000"/>
                <w:sz w:val="20"/>
                <w:szCs w:val="20"/>
                <w:lang w:eastAsia="cs-CZ"/>
              </w:rPr>
              <w:t>2 378 851</w:t>
            </w:r>
          </w:p>
        </w:tc>
      </w:tr>
    </w:tbl>
    <w:p w14:paraId="10FB2B4B" w14:textId="67AC273F" w:rsidR="00FA5B54" w:rsidRDefault="00FA5B54" w:rsidP="00FA5B54"/>
    <w:tbl>
      <w:tblPr>
        <w:tblW w:w="10065" w:type="dxa"/>
        <w:tblCellMar>
          <w:left w:w="70" w:type="dxa"/>
          <w:right w:w="70" w:type="dxa"/>
        </w:tblCellMar>
        <w:tblLook w:val="04A0" w:firstRow="1" w:lastRow="0" w:firstColumn="1" w:lastColumn="0" w:noHBand="0" w:noVBand="1"/>
      </w:tblPr>
      <w:tblGrid>
        <w:gridCol w:w="5663"/>
        <w:gridCol w:w="858"/>
        <w:gridCol w:w="1984"/>
        <w:gridCol w:w="1560"/>
      </w:tblGrid>
      <w:tr w:rsidR="00F27608" w:rsidRPr="00F27608" w14:paraId="19B9B79C" w14:textId="77777777" w:rsidTr="00E9066F">
        <w:tc>
          <w:tcPr>
            <w:tcW w:w="5663" w:type="dxa"/>
            <w:tcBorders>
              <w:top w:val="nil"/>
              <w:left w:val="nil"/>
              <w:bottom w:val="nil"/>
              <w:right w:val="nil"/>
            </w:tcBorders>
            <w:shd w:val="clear" w:color="auto" w:fill="auto"/>
            <w:vAlign w:val="bottom"/>
            <w:hideMark/>
          </w:tcPr>
          <w:p w14:paraId="53AECDE3" w14:textId="77777777" w:rsidR="00F27608" w:rsidRPr="00F27608" w:rsidRDefault="00F27608" w:rsidP="00F27608">
            <w:pPr>
              <w:spacing w:after="0" w:line="240" w:lineRule="auto"/>
              <w:rPr>
                <w:rFonts w:eastAsia="Times New Roman" w:cstheme="minorHAnsi"/>
                <w:sz w:val="18"/>
                <w:szCs w:val="18"/>
                <w:lang w:eastAsia="cs-CZ"/>
              </w:rPr>
            </w:pPr>
          </w:p>
        </w:tc>
        <w:tc>
          <w:tcPr>
            <w:tcW w:w="858" w:type="dxa"/>
            <w:tcBorders>
              <w:top w:val="nil"/>
              <w:left w:val="nil"/>
              <w:bottom w:val="nil"/>
              <w:right w:val="nil"/>
            </w:tcBorders>
            <w:shd w:val="clear" w:color="auto" w:fill="auto"/>
            <w:noWrap/>
            <w:vAlign w:val="bottom"/>
            <w:hideMark/>
          </w:tcPr>
          <w:p w14:paraId="741D5427" w14:textId="77777777" w:rsidR="00F27608" w:rsidRPr="00F27608" w:rsidRDefault="00F27608" w:rsidP="00F27608">
            <w:pPr>
              <w:spacing w:after="0" w:line="240" w:lineRule="auto"/>
              <w:rPr>
                <w:rFonts w:eastAsia="Times New Roman" w:cstheme="minorHAnsi"/>
                <w:sz w:val="18"/>
                <w:szCs w:val="18"/>
                <w:lang w:eastAsia="cs-CZ"/>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2627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Čistý nejlepší odhad (bez zajištění / zvláštních účelových jednotek) a technické rezervy vypočítané jako celek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F74FB5"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Čisté předepsané pojistné (bez zajištění) za posledních 12 měsíců</w:t>
            </w:r>
          </w:p>
        </w:tc>
      </w:tr>
      <w:tr w:rsidR="00F27608" w:rsidRPr="00F27608" w14:paraId="0308C8F9" w14:textId="77777777" w:rsidTr="00E9066F">
        <w:tc>
          <w:tcPr>
            <w:tcW w:w="5663" w:type="dxa"/>
            <w:tcBorders>
              <w:top w:val="nil"/>
              <w:left w:val="nil"/>
              <w:bottom w:val="nil"/>
              <w:right w:val="nil"/>
            </w:tcBorders>
            <w:shd w:val="clear" w:color="auto" w:fill="auto"/>
            <w:vAlign w:val="bottom"/>
            <w:hideMark/>
          </w:tcPr>
          <w:p w14:paraId="04C5A1E2" w14:textId="77777777" w:rsidR="00F27608" w:rsidRPr="00F27608" w:rsidRDefault="00F27608" w:rsidP="00F27608">
            <w:pPr>
              <w:spacing w:after="0" w:line="240" w:lineRule="auto"/>
              <w:jc w:val="center"/>
              <w:rPr>
                <w:rFonts w:eastAsia="Times New Roman" w:cstheme="minorHAnsi"/>
                <w:color w:val="000000"/>
                <w:sz w:val="18"/>
                <w:szCs w:val="18"/>
                <w:lang w:eastAsia="cs-CZ"/>
              </w:rPr>
            </w:pPr>
          </w:p>
        </w:tc>
        <w:tc>
          <w:tcPr>
            <w:tcW w:w="858" w:type="dxa"/>
            <w:tcBorders>
              <w:top w:val="nil"/>
              <w:left w:val="nil"/>
              <w:bottom w:val="nil"/>
              <w:right w:val="nil"/>
            </w:tcBorders>
            <w:shd w:val="clear" w:color="auto" w:fill="auto"/>
            <w:noWrap/>
            <w:vAlign w:val="bottom"/>
            <w:hideMark/>
          </w:tcPr>
          <w:p w14:paraId="2CE01626" w14:textId="77777777" w:rsidR="00F27608" w:rsidRPr="00F27608" w:rsidRDefault="00F27608" w:rsidP="00F27608">
            <w:pPr>
              <w:spacing w:after="0" w:line="240" w:lineRule="auto"/>
              <w:rPr>
                <w:rFonts w:eastAsia="Times New Roman" w:cstheme="minorHAnsi"/>
                <w:sz w:val="18"/>
                <w:szCs w:val="18"/>
                <w:lang w:eastAsia="cs-CZ"/>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BBE686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C0020</w:t>
            </w:r>
          </w:p>
        </w:tc>
        <w:tc>
          <w:tcPr>
            <w:tcW w:w="1560" w:type="dxa"/>
            <w:tcBorders>
              <w:top w:val="nil"/>
              <w:left w:val="nil"/>
              <w:bottom w:val="single" w:sz="4" w:space="0" w:color="auto"/>
              <w:right w:val="single" w:sz="4" w:space="0" w:color="auto"/>
            </w:tcBorders>
            <w:shd w:val="clear" w:color="auto" w:fill="auto"/>
            <w:noWrap/>
            <w:vAlign w:val="center"/>
            <w:hideMark/>
          </w:tcPr>
          <w:p w14:paraId="42B70A09"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C0030</w:t>
            </w:r>
          </w:p>
        </w:tc>
      </w:tr>
      <w:tr w:rsidR="00F27608" w:rsidRPr="00F27608" w14:paraId="04E81A69" w14:textId="77777777" w:rsidTr="00E9066F">
        <w:tc>
          <w:tcPr>
            <w:tcW w:w="5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2B9CC"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léčebných výloh a proporcionální zajištění</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006E8994"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R0020</w:t>
            </w:r>
          </w:p>
        </w:tc>
        <w:tc>
          <w:tcPr>
            <w:tcW w:w="1984" w:type="dxa"/>
            <w:tcBorders>
              <w:top w:val="nil"/>
              <w:left w:val="nil"/>
              <w:bottom w:val="single" w:sz="4" w:space="0" w:color="auto"/>
              <w:right w:val="single" w:sz="4" w:space="0" w:color="auto"/>
            </w:tcBorders>
            <w:shd w:val="clear" w:color="auto" w:fill="auto"/>
            <w:noWrap/>
            <w:vAlign w:val="center"/>
            <w:hideMark/>
          </w:tcPr>
          <w:p w14:paraId="2BA09B4C"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30 508 766</w:t>
            </w:r>
          </w:p>
        </w:tc>
        <w:tc>
          <w:tcPr>
            <w:tcW w:w="1560" w:type="dxa"/>
            <w:tcBorders>
              <w:top w:val="nil"/>
              <w:left w:val="nil"/>
              <w:bottom w:val="single" w:sz="4" w:space="0" w:color="auto"/>
              <w:right w:val="single" w:sz="4" w:space="0" w:color="auto"/>
            </w:tcBorders>
            <w:shd w:val="clear" w:color="auto" w:fill="auto"/>
            <w:noWrap/>
            <w:vAlign w:val="center"/>
            <w:hideMark/>
          </w:tcPr>
          <w:p w14:paraId="4B728F16"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20 105 082</w:t>
            </w:r>
          </w:p>
        </w:tc>
      </w:tr>
      <w:tr w:rsidR="00F27608" w:rsidRPr="00F27608" w14:paraId="40A0DB3B"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5749D255"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ochrany příjmu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4616FCD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R0030</w:t>
            </w:r>
          </w:p>
        </w:tc>
        <w:tc>
          <w:tcPr>
            <w:tcW w:w="1984" w:type="dxa"/>
            <w:tcBorders>
              <w:top w:val="nil"/>
              <w:left w:val="nil"/>
              <w:bottom w:val="single" w:sz="4" w:space="0" w:color="auto"/>
              <w:right w:val="single" w:sz="4" w:space="0" w:color="auto"/>
            </w:tcBorders>
            <w:shd w:val="clear" w:color="auto" w:fill="auto"/>
            <w:noWrap/>
            <w:vAlign w:val="center"/>
            <w:hideMark/>
          </w:tcPr>
          <w:p w14:paraId="7AEDB404"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1FF258"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565C6038"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76074849"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odpovědnosti zaměstnavatele za škodu při pracovním úrazu nebo nemoci z povolání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106D2144"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R0040</w:t>
            </w:r>
          </w:p>
        </w:tc>
        <w:tc>
          <w:tcPr>
            <w:tcW w:w="1984" w:type="dxa"/>
            <w:tcBorders>
              <w:top w:val="nil"/>
              <w:left w:val="nil"/>
              <w:bottom w:val="single" w:sz="4" w:space="0" w:color="auto"/>
              <w:right w:val="single" w:sz="4" w:space="0" w:color="auto"/>
            </w:tcBorders>
            <w:shd w:val="clear" w:color="auto" w:fill="auto"/>
            <w:noWrap/>
            <w:vAlign w:val="center"/>
            <w:hideMark/>
          </w:tcPr>
          <w:p w14:paraId="45A1F436"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229288"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79E34203"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30E42514"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odpovědnosti za škodu z provozu motorových vozidel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3B6F36D9"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R0050</w:t>
            </w:r>
          </w:p>
        </w:tc>
        <w:tc>
          <w:tcPr>
            <w:tcW w:w="1984" w:type="dxa"/>
            <w:tcBorders>
              <w:top w:val="nil"/>
              <w:left w:val="nil"/>
              <w:bottom w:val="single" w:sz="4" w:space="0" w:color="auto"/>
              <w:right w:val="single" w:sz="4" w:space="0" w:color="auto"/>
            </w:tcBorders>
            <w:shd w:val="clear" w:color="auto" w:fill="auto"/>
            <w:noWrap/>
            <w:vAlign w:val="center"/>
            <w:hideMark/>
          </w:tcPr>
          <w:p w14:paraId="349800B8"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605D2C"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4F4815C5"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1E6875E9"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Ostatní pojištění motorových vozidel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28803932"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R0060</w:t>
            </w:r>
          </w:p>
        </w:tc>
        <w:tc>
          <w:tcPr>
            <w:tcW w:w="1984" w:type="dxa"/>
            <w:tcBorders>
              <w:top w:val="nil"/>
              <w:left w:val="nil"/>
              <w:bottom w:val="single" w:sz="4" w:space="0" w:color="auto"/>
              <w:right w:val="single" w:sz="4" w:space="0" w:color="auto"/>
            </w:tcBorders>
            <w:shd w:val="clear" w:color="auto" w:fill="auto"/>
            <w:noWrap/>
            <w:vAlign w:val="center"/>
            <w:hideMark/>
          </w:tcPr>
          <w:p w14:paraId="5A1F0CED"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3FD129"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31EFE091"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1B77F46B"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námořní a letecké dopravy a pojištění přepravy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63E87C25"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R0070</w:t>
            </w:r>
          </w:p>
        </w:tc>
        <w:tc>
          <w:tcPr>
            <w:tcW w:w="1984" w:type="dxa"/>
            <w:tcBorders>
              <w:top w:val="nil"/>
              <w:left w:val="nil"/>
              <w:bottom w:val="single" w:sz="4" w:space="0" w:color="auto"/>
              <w:right w:val="single" w:sz="4" w:space="0" w:color="auto"/>
            </w:tcBorders>
            <w:shd w:val="clear" w:color="auto" w:fill="auto"/>
            <w:noWrap/>
            <w:vAlign w:val="center"/>
            <w:hideMark/>
          </w:tcPr>
          <w:p w14:paraId="68EF7806"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DC5D30"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690C7B64"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5A86E441"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pro případ požáru a jiných škod na majetku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03EF79B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R0080</w:t>
            </w:r>
          </w:p>
        </w:tc>
        <w:tc>
          <w:tcPr>
            <w:tcW w:w="1984" w:type="dxa"/>
            <w:tcBorders>
              <w:top w:val="nil"/>
              <w:left w:val="nil"/>
              <w:bottom w:val="single" w:sz="4" w:space="0" w:color="auto"/>
              <w:right w:val="single" w:sz="4" w:space="0" w:color="auto"/>
            </w:tcBorders>
            <w:shd w:val="clear" w:color="auto" w:fill="auto"/>
            <w:noWrap/>
            <w:vAlign w:val="center"/>
            <w:hideMark/>
          </w:tcPr>
          <w:p w14:paraId="151C3A3E"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F3262D"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73CF74B3"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1EE68CAA"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Obecné pojištění odpovědnosti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0DAF075D"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R0090</w:t>
            </w:r>
          </w:p>
        </w:tc>
        <w:tc>
          <w:tcPr>
            <w:tcW w:w="1984" w:type="dxa"/>
            <w:tcBorders>
              <w:top w:val="nil"/>
              <w:left w:val="nil"/>
              <w:bottom w:val="single" w:sz="4" w:space="0" w:color="auto"/>
              <w:right w:val="single" w:sz="4" w:space="0" w:color="auto"/>
            </w:tcBorders>
            <w:shd w:val="clear" w:color="auto" w:fill="auto"/>
            <w:noWrap/>
            <w:vAlign w:val="center"/>
            <w:hideMark/>
          </w:tcPr>
          <w:p w14:paraId="0EBA37B5"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F7C1B8"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4692CC82"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78BCF474"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úvěru a záruky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03FB090B"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R0100</w:t>
            </w:r>
          </w:p>
        </w:tc>
        <w:tc>
          <w:tcPr>
            <w:tcW w:w="1984" w:type="dxa"/>
            <w:tcBorders>
              <w:top w:val="nil"/>
              <w:left w:val="nil"/>
              <w:bottom w:val="single" w:sz="4" w:space="0" w:color="auto"/>
              <w:right w:val="single" w:sz="4" w:space="0" w:color="auto"/>
            </w:tcBorders>
            <w:shd w:val="clear" w:color="auto" w:fill="auto"/>
            <w:noWrap/>
            <w:vAlign w:val="center"/>
            <w:hideMark/>
          </w:tcPr>
          <w:p w14:paraId="5096AB0F"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2D43E7"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50FBFF6A"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08BC7E08"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právní ochrany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423BB479"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R0110</w:t>
            </w:r>
          </w:p>
        </w:tc>
        <w:tc>
          <w:tcPr>
            <w:tcW w:w="1984" w:type="dxa"/>
            <w:tcBorders>
              <w:top w:val="nil"/>
              <w:left w:val="nil"/>
              <w:bottom w:val="single" w:sz="4" w:space="0" w:color="auto"/>
              <w:right w:val="single" w:sz="4" w:space="0" w:color="auto"/>
            </w:tcBorders>
            <w:shd w:val="clear" w:color="auto" w:fill="auto"/>
            <w:noWrap/>
            <w:vAlign w:val="center"/>
            <w:hideMark/>
          </w:tcPr>
          <w:p w14:paraId="07876F4F"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C5EC02"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5ED4A401"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6E82548E"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asistence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18F2BDA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R0120</w:t>
            </w:r>
          </w:p>
        </w:tc>
        <w:tc>
          <w:tcPr>
            <w:tcW w:w="1984" w:type="dxa"/>
            <w:tcBorders>
              <w:top w:val="nil"/>
              <w:left w:val="nil"/>
              <w:bottom w:val="single" w:sz="4" w:space="0" w:color="auto"/>
              <w:right w:val="single" w:sz="4" w:space="0" w:color="auto"/>
            </w:tcBorders>
            <w:shd w:val="clear" w:color="auto" w:fill="auto"/>
            <w:noWrap/>
            <w:vAlign w:val="center"/>
            <w:hideMark/>
          </w:tcPr>
          <w:p w14:paraId="33618EA6"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AA42E2"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63731098"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1EA49448"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Pojištění různých finančních ztrát a proporcionální zajištění</w:t>
            </w:r>
          </w:p>
        </w:tc>
        <w:tc>
          <w:tcPr>
            <w:tcW w:w="858" w:type="dxa"/>
            <w:tcBorders>
              <w:top w:val="nil"/>
              <w:left w:val="nil"/>
              <w:bottom w:val="single" w:sz="4" w:space="0" w:color="auto"/>
              <w:right w:val="single" w:sz="4" w:space="0" w:color="auto"/>
            </w:tcBorders>
            <w:shd w:val="clear" w:color="auto" w:fill="auto"/>
            <w:noWrap/>
            <w:vAlign w:val="bottom"/>
            <w:hideMark/>
          </w:tcPr>
          <w:p w14:paraId="2AD9406F"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R0130</w:t>
            </w:r>
          </w:p>
        </w:tc>
        <w:tc>
          <w:tcPr>
            <w:tcW w:w="1984" w:type="dxa"/>
            <w:tcBorders>
              <w:top w:val="nil"/>
              <w:left w:val="nil"/>
              <w:bottom w:val="single" w:sz="4" w:space="0" w:color="auto"/>
              <w:right w:val="single" w:sz="4" w:space="0" w:color="auto"/>
            </w:tcBorders>
            <w:shd w:val="clear" w:color="auto" w:fill="auto"/>
            <w:noWrap/>
            <w:vAlign w:val="center"/>
            <w:hideMark/>
          </w:tcPr>
          <w:p w14:paraId="6B89B797"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5510D2"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61F7A172"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50507BEC"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Aktivní neproporcionální zajištění (zdravotní pojištění)</w:t>
            </w:r>
          </w:p>
        </w:tc>
        <w:tc>
          <w:tcPr>
            <w:tcW w:w="858" w:type="dxa"/>
            <w:tcBorders>
              <w:top w:val="nil"/>
              <w:left w:val="nil"/>
              <w:bottom w:val="single" w:sz="4" w:space="0" w:color="auto"/>
              <w:right w:val="single" w:sz="4" w:space="0" w:color="auto"/>
            </w:tcBorders>
            <w:shd w:val="clear" w:color="auto" w:fill="auto"/>
            <w:noWrap/>
            <w:vAlign w:val="bottom"/>
            <w:hideMark/>
          </w:tcPr>
          <w:p w14:paraId="3AAEEB5F"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R0140</w:t>
            </w:r>
          </w:p>
        </w:tc>
        <w:tc>
          <w:tcPr>
            <w:tcW w:w="1984" w:type="dxa"/>
            <w:tcBorders>
              <w:top w:val="nil"/>
              <w:left w:val="nil"/>
              <w:bottom w:val="single" w:sz="4" w:space="0" w:color="auto"/>
              <w:right w:val="single" w:sz="4" w:space="0" w:color="auto"/>
            </w:tcBorders>
            <w:shd w:val="clear" w:color="auto" w:fill="auto"/>
            <w:noWrap/>
            <w:vAlign w:val="center"/>
            <w:hideMark/>
          </w:tcPr>
          <w:p w14:paraId="63885ECC"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A9964C"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5CCC9AD9"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73F98953"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Aktivní neproporcionální zajištění (pojištění odpovědnosti)</w:t>
            </w:r>
          </w:p>
        </w:tc>
        <w:tc>
          <w:tcPr>
            <w:tcW w:w="858" w:type="dxa"/>
            <w:tcBorders>
              <w:top w:val="nil"/>
              <w:left w:val="nil"/>
              <w:bottom w:val="single" w:sz="4" w:space="0" w:color="auto"/>
              <w:right w:val="single" w:sz="4" w:space="0" w:color="auto"/>
            </w:tcBorders>
            <w:shd w:val="clear" w:color="auto" w:fill="auto"/>
            <w:noWrap/>
            <w:vAlign w:val="bottom"/>
            <w:hideMark/>
          </w:tcPr>
          <w:p w14:paraId="47162492"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R0150</w:t>
            </w:r>
          </w:p>
        </w:tc>
        <w:tc>
          <w:tcPr>
            <w:tcW w:w="1984" w:type="dxa"/>
            <w:tcBorders>
              <w:top w:val="nil"/>
              <w:left w:val="nil"/>
              <w:bottom w:val="single" w:sz="4" w:space="0" w:color="auto"/>
              <w:right w:val="single" w:sz="4" w:space="0" w:color="auto"/>
            </w:tcBorders>
            <w:shd w:val="clear" w:color="auto" w:fill="auto"/>
            <w:noWrap/>
            <w:vAlign w:val="center"/>
            <w:hideMark/>
          </w:tcPr>
          <w:p w14:paraId="3785D2C6"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F3D8B0"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6B70B4F0"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305D588A"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Aktivní neproporcionální zajištění (pojištění námořní a letecké dopravy a pojištění přepravy)</w:t>
            </w:r>
          </w:p>
        </w:tc>
        <w:tc>
          <w:tcPr>
            <w:tcW w:w="858" w:type="dxa"/>
            <w:tcBorders>
              <w:top w:val="nil"/>
              <w:left w:val="nil"/>
              <w:bottom w:val="single" w:sz="4" w:space="0" w:color="auto"/>
              <w:right w:val="single" w:sz="4" w:space="0" w:color="auto"/>
            </w:tcBorders>
            <w:shd w:val="clear" w:color="auto" w:fill="auto"/>
            <w:noWrap/>
            <w:vAlign w:val="bottom"/>
            <w:hideMark/>
          </w:tcPr>
          <w:p w14:paraId="081A7A95"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R0160</w:t>
            </w:r>
          </w:p>
        </w:tc>
        <w:tc>
          <w:tcPr>
            <w:tcW w:w="1984" w:type="dxa"/>
            <w:tcBorders>
              <w:top w:val="nil"/>
              <w:left w:val="nil"/>
              <w:bottom w:val="single" w:sz="4" w:space="0" w:color="auto"/>
              <w:right w:val="single" w:sz="4" w:space="0" w:color="auto"/>
            </w:tcBorders>
            <w:shd w:val="clear" w:color="auto" w:fill="auto"/>
            <w:noWrap/>
            <w:vAlign w:val="center"/>
            <w:hideMark/>
          </w:tcPr>
          <w:p w14:paraId="7ADD4E70"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171441"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r w:rsidR="00F27608" w:rsidRPr="00F27608" w14:paraId="7585F97B" w14:textId="77777777" w:rsidTr="00E9066F">
        <w:tc>
          <w:tcPr>
            <w:tcW w:w="5663" w:type="dxa"/>
            <w:tcBorders>
              <w:top w:val="nil"/>
              <w:left w:val="single" w:sz="4" w:space="0" w:color="auto"/>
              <w:bottom w:val="single" w:sz="4" w:space="0" w:color="auto"/>
              <w:right w:val="single" w:sz="4" w:space="0" w:color="auto"/>
            </w:tcBorders>
            <w:shd w:val="clear" w:color="auto" w:fill="auto"/>
            <w:vAlign w:val="bottom"/>
            <w:hideMark/>
          </w:tcPr>
          <w:p w14:paraId="5DDA4549" w14:textId="77777777" w:rsidR="00F27608" w:rsidRPr="00F27608" w:rsidRDefault="00F27608" w:rsidP="00F27608">
            <w:pPr>
              <w:spacing w:after="0" w:line="240" w:lineRule="auto"/>
              <w:rPr>
                <w:rFonts w:eastAsia="Times New Roman" w:cstheme="minorHAnsi"/>
                <w:color w:val="000000"/>
                <w:sz w:val="18"/>
                <w:szCs w:val="18"/>
                <w:lang w:eastAsia="cs-CZ"/>
              </w:rPr>
            </w:pPr>
            <w:r w:rsidRPr="00F27608">
              <w:rPr>
                <w:rFonts w:eastAsia="Times New Roman" w:cstheme="minorHAnsi"/>
                <w:color w:val="000000"/>
                <w:sz w:val="18"/>
                <w:szCs w:val="18"/>
                <w:lang w:eastAsia="cs-CZ"/>
              </w:rPr>
              <w:t>Aktivní neproporcionální zajištění (pojištění majetku)</w:t>
            </w:r>
          </w:p>
        </w:tc>
        <w:tc>
          <w:tcPr>
            <w:tcW w:w="858" w:type="dxa"/>
            <w:tcBorders>
              <w:top w:val="nil"/>
              <w:left w:val="nil"/>
              <w:bottom w:val="single" w:sz="4" w:space="0" w:color="auto"/>
              <w:right w:val="single" w:sz="4" w:space="0" w:color="auto"/>
            </w:tcBorders>
            <w:shd w:val="clear" w:color="auto" w:fill="auto"/>
            <w:noWrap/>
            <w:vAlign w:val="bottom"/>
            <w:hideMark/>
          </w:tcPr>
          <w:p w14:paraId="19A0E327"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R0170</w:t>
            </w:r>
          </w:p>
        </w:tc>
        <w:tc>
          <w:tcPr>
            <w:tcW w:w="1984" w:type="dxa"/>
            <w:tcBorders>
              <w:top w:val="nil"/>
              <w:left w:val="nil"/>
              <w:bottom w:val="single" w:sz="4" w:space="0" w:color="auto"/>
              <w:right w:val="single" w:sz="4" w:space="0" w:color="auto"/>
            </w:tcBorders>
            <w:shd w:val="clear" w:color="auto" w:fill="auto"/>
            <w:noWrap/>
            <w:vAlign w:val="center"/>
            <w:hideMark/>
          </w:tcPr>
          <w:p w14:paraId="4C371CA5"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52B8BC" w14:textId="77777777" w:rsidR="00F27608" w:rsidRPr="00F27608" w:rsidRDefault="00F27608" w:rsidP="00F27608">
            <w:pPr>
              <w:spacing w:after="0" w:line="240" w:lineRule="auto"/>
              <w:jc w:val="center"/>
              <w:rPr>
                <w:rFonts w:eastAsia="Times New Roman" w:cstheme="minorHAnsi"/>
                <w:color w:val="000000"/>
                <w:sz w:val="18"/>
                <w:szCs w:val="18"/>
                <w:lang w:eastAsia="cs-CZ"/>
              </w:rPr>
            </w:pPr>
            <w:r w:rsidRPr="00F27608">
              <w:rPr>
                <w:rFonts w:eastAsia="Times New Roman" w:cstheme="minorHAnsi"/>
                <w:color w:val="000000"/>
                <w:sz w:val="18"/>
                <w:szCs w:val="18"/>
                <w:lang w:eastAsia="cs-CZ"/>
              </w:rPr>
              <w:t> </w:t>
            </w:r>
          </w:p>
        </w:tc>
      </w:tr>
    </w:tbl>
    <w:p w14:paraId="526A8CBA" w14:textId="0BB42D88" w:rsidR="00323ED6" w:rsidRDefault="00323ED6" w:rsidP="00FA5B54"/>
    <w:tbl>
      <w:tblPr>
        <w:tblW w:w="9940" w:type="dxa"/>
        <w:tblCellMar>
          <w:left w:w="70" w:type="dxa"/>
          <w:right w:w="70" w:type="dxa"/>
        </w:tblCellMar>
        <w:tblLook w:val="04A0" w:firstRow="1" w:lastRow="0" w:firstColumn="1" w:lastColumn="0" w:noHBand="0" w:noVBand="1"/>
      </w:tblPr>
      <w:tblGrid>
        <w:gridCol w:w="7771"/>
        <w:gridCol w:w="799"/>
        <w:gridCol w:w="1370"/>
      </w:tblGrid>
      <w:tr w:rsidR="00CF135B" w:rsidRPr="00CF135B" w14:paraId="351260A3" w14:textId="77777777" w:rsidTr="00E9066F">
        <w:tc>
          <w:tcPr>
            <w:tcW w:w="9940" w:type="dxa"/>
            <w:gridSpan w:val="3"/>
            <w:tcBorders>
              <w:top w:val="nil"/>
              <w:left w:val="nil"/>
              <w:bottom w:val="nil"/>
              <w:right w:val="nil"/>
            </w:tcBorders>
            <w:shd w:val="clear" w:color="auto" w:fill="auto"/>
            <w:noWrap/>
            <w:vAlign w:val="bottom"/>
            <w:hideMark/>
          </w:tcPr>
          <w:p w14:paraId="3C08B4F1" w14:textId="3278B307" w:rsidR="00CF135B" w:rsidRPr="00CF135B" w:rsidRDefault="00CF135B" w:rsidP="00CF135B">
            <w:pPr>
              <w:spacing w:after="0" w:line="240" w:lineRule="auto"/>
              <w:rPr>
                <w:rFonts w:ascii="Calibri" w:eastAsia="Times New Roman" w:hAnsi="Calibri" w:cs="Calibri"/>
                <w:b/>
                <w:bCs/>
                <w:color w:val="000000"/>
                <w:sz w:val="20"/>
                <w:szCs w:val="20"/>
                <w:lang w:eastAsia="cs-CZ"/>
              </w:rPr>
            </w:pPr>
            <w:r w:rsidRPr="00CF135B">
              <w:rPr>
                <w:rFonts w:ascii="Calibri" w:eastAsia="Times New Roman" w:hAnsi="Calibri" w:cs="Calibri"/>
                <w:b/>
                <w:bCs/>
                <w:color w:val="000000"/>
                <w:sz w:val="20"/>
                <w:szCs w:val="20"/>
                <w:lang w:eastAsia="cs-CZ"/>
              </w:rPr>
              <w:t>Celkový výpočet minimálního kapitálového požadavku</w:t>
            </w:r>
          </w:p>
        </w:tc>
      </w:tr>
      <w:tr w:rsidR="00CF135B" w:rsidRPr="00CF135B" w14:paraId="25910B2C" w14:textId="77777777" w:rsidTr="00E9066F">
        <w:tc>
          <w:tcPr>
            <w:tcW w:w="7771" w:type="dxa"/>
            <w:tcBorders>
              <w:top w:val="nil"/>
              <w:left w:val="nil"/>
              <w:bottom w:val="nil"/>
              <w:right w:val="nil"/>
            </w:tcBorders>
            <w:shd w:val="clear" w:color="auto" w:fill="auto"/>
            <w:noWrap/>
            <w:vAlign w:val="bottom"/>
            <w:hideMark/>
          </w:tcPr>
          <w:p w14:paraId="1D1213F3" w14:textId="77777777" w:rsidR="00CF135B" w:rsidRPr="00CF135B" w:rsidRDefault="00CF135B" w:rsidP="00CF135B">
            <w:pPr>
              <w:spacing w:after="0" w:line="240" w:lineRule="auto"/>
              <w:rPr>
                <w:rFonts w:ascii="Calibri" w:eastAsia="Times New Roman" w:hAnsi="Calibri" w:cs="Calibri"/>
                <w:b/>
                <w:bCs/>
                <w:color w:val="000000"/>
                <w:sz w:val="20"/>
                <w:szCs w:val="20"/>
                <w:lang w:eastAsia="cs-CZ"/>
              </w:rPr>
            </w:pPr>
          </w:p>
        </w:tc>
        <w:tc>
          <w:tcPr>
            <w:tcW w:w="799" w:type="dxa"/>
            <w:tcBorders>
              <w:top w:val="nil"/>
              <w:left w:val="nil"/>
              <w:bottom w:val="nil"/>
              <w:right w:val="nil"/>
            </w:tcBorders>
            <w:shd w:val="clear" w:color="auto" w:fill="auto"/>
            <w:noWrap/>
            <w:vAlign w:val="bottom"/>
            <w:hideMark/>
          </w:tcPr>
          <w:p w14:paraId="599416BC" w14:textId="77777777" w:rsidR="00CF135B" w:rsidRPr="00CF135B" w:rsidRDefault="00CF135B" w:rsidP="00CF135B">
            <w:pPr>
              <w:spacing w:after="0" w:line="240" w:lineRule="auto"/>
              <w:rPr>
                <w:rFonts w:ascii="Times New Roman" w:eastAsia="Times New Roman" w:hAnsi="Times New Roman" w:cs="Times New Roman"/>
                <w:sz w:val="20"/>
                <w:szCs w:val="20"/>
                <w:lang w:eastAsia="cs-CZ"/>
              </w:rPr>
            </w:pPr>
          </w:p>
        </w:tc>
        <w:tc>
          <w:tcPr>
            <w:tcW w:w="1370" w:type="dxa"/>
            <w:tcBorders>
              <w:top w:val="nil"/>
              <w:left w:val="nil"/>
              <w:bottom w:val="nil"/>
              <w:right w:val="nil"/>
            </w:tcBorders>
            <w:shd w:val="clear" w:color="auto" w:fill="auto"/>
            <w:noWrap/>
            <w:vAlign w:val="center"/>
            <w:hideMark/>
          </w:tcPr>
          <w:p w14:paraId="213912C0" w14:textId="77777777" w:rsidR="00CF135B" w:rsidRPr="00CF135B" w:rsidRDefault="00CF135B" w:rsidP="00CF135B">
            <w:pPr>
              <w:spacing w:after="0" w:line="240" w:lineRule="auto"/>
              <w:rPr>
                <w:rFonts w:ascii="Times New Roman" w:eastAsia="Times New Roman" w:hAnsi="Times New Roman" w:cs="Times New Roman"/>
                <w:sz w:val="20"/>
                <w:szCs w:val="20"/>
                <w:lang w:eastAsia="cs-CZ"/>
              </w:rPr>
            </w:pPr>
          </w:p>
        </w:tc>
      </w:tr>
      <w:tr w:rsidR="00CF135B" w:rsidRPr="00CF135B" w14:paraId="56DD7429" w14:textId="77777777" w:rsidTr="00E9066F">
        <w:tc>
          <w:tcPr>
            <w:tcW w:w="7771" w:type="dxa"/>
            <w:tcBorders>
              <w:top w:val="nil"/>
              <w:left w:val="nil"/>
              <w:bottom w:val="nil"/>
              <w:right w:val="nil"/>
            </w:tcBorders>
            <w:shd w:val="clear" w:color="auto" w:fill="auto"/>
            <w:noWrap/>
            <w:vAlign w:val="bottom"/>
            <w:hideMark/>
          </w:tcPr>
          <w:p w14:paraId="48664C09" w14:textId="77777777" w:rsidR="00CF135B" w:rsidRPr="00CF135B" w:rsidRDefault="00CF135B" w:rsidP="00CF135B">
            <w:pPr>
              <w:spacing w:after="0" w:line="240" w:lineRule="auto"/>
              <w:jc w:val="center"/>
              <w:rPr>
                <w:rFonts w:ascii="Times New Roman" w:eastAsia="Times New Roman" w:hAnsi="Times New Roman" w:cs="Times New Roman"/>
                <w:sz w:val="20"/>
                <w:szCs w:val="20"/>
                <w:lang w:eastAsia="cs-CZ"/>
              </w:rPr>
            </w:pPr>
          </w:p>
        </w:tc>
        <w:tc>
          <w:tcPr>
            <w:tcW w:w="799" w:type="dxa"/>
            <w:tcBorders>
              <w:top w:val="nil"/>
              <w:left w:val="nil"/>
              <w:bottom w:val="nil"/>
              <w:right w:val="nil"/>
            </w:tcBorders>
            <w:shd w:val="clear" w:color="auto" w:fill="auto"/>
            <w:noWrap/>
            <w:vAlign w:val="bottom"/>
            <w:hideMark/>
          </w:tcPr>
          <w:p w14:paraId="177FBFD3" w14:textId="77777777" w:rsidR="00CF135B" w:rsidRPr="00CF135B" w:rsidRDefault="00CF135B" w:rsidP="00CF135B">
            <w:pPr>
              <w:spacing w:after="0" w:line="240" w:lineRule="auto"/>
              <w:rPr>
                <w:rFonts w:ascii="Times New Roman" w:eastAsia="Times New Roman" w:hAnsi="Times New Roman" w:cs="Times New Roman"/>
                <w:sz w:val="20"/>
                <w:szCs w:val="20"/>
                <w:lang w:eastAsia="cs-CZ"/>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ED13B"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C0070</w:t>
            </w:r>
          </w:p>
        </w:tc>
      </w:tr>
      <w:tr w:rsidR="00CF135B" w:rsidRPr="00CF135B" w14:paraId="2497E279" w14:textId="77777777" w:rsidTr="00E9066F">
        <w:tc>
          <w:tcPr>
            <w:tcW w:w="7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E3DC9"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Lineární minimální kapitálový požadavek (MCR)</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05550949"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R0300</w:t>
            </w:r>
          </w:p>
        </w:tc>
        <w:tc>
          <w:tcPr>
            <w:tcW w:w="1370" w:type="dxa"/>
            <w:tcBorders>
              <w:top w:val="nil"/>
              <w:left w:val="nil"/>
              <w:bottom w:val="single" w:sz="4" w:space="0" w:color="auto"/>
              <w:right w:val="single" w:sz="4" w:space="0" w:color="auto"/>
            </w:tcBorders>
            <w:shd w:val="clear" w:color="auto" w:fill="auto"/>
            <w:noWrap/>
            <w:vAlign w:val="center"/>
            <w:hideMark/>
          </w:tcPr>
          <w:p w14:paraId="2A51F104"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2 378 851</w:t>
            </w:r>
          </w:p>
        </w:tc>
      </w:tr>
      <w:tr w:rsidR="00CF135B" w:rsidRPr="00CF135B" w14:paraId="115EC3F1"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71D80263"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proofErr w:type="spellStart"/>
            <w:r w:rsidRPr="00CF135B">
              <w:rPr>
                <w:rFonts w:ascii="Calibri" w:eastAsia="Times New Roman" w:hAnsi="Calibri" w:cs="Calibri"/>
                <w:color w:val="000000"/>
                <w:sz w:val="20"/>
                <w:szCs w:val="20"/>
                <w:lang w:eastAsia="cs-CZ"/>
              </w:rPr>
              <w:t>Solventnostní</w:t>
            </w:r>
            <w:proofErr w:type="spellEnd"/>
            <w:r w:rsidRPr="00CF135B">
              <w:rPr>
                <w:rFonts w:ascii="Calibri" w:eastAsia="Times New Roman" w:hAnsi="Calibri" w:cs="Calibri"/>
                <w:color w:val="000000"/>
                <w:sz w:val="20"/>
                <w:szCs w:val="20"/>
                <w:lang w:eastAsia="cs-CZ"/>
              </w:rPr>
              <w:t xml:space="preserve"> kapitálový požadavek (SCR)</w:t>
            </w:r>
          </w:p>
        </w:tc>
        <w:tc>
          <w:tcPr>
            <w:tcW w:w="799" w:type="dxa"/>
            <w:tcBorders>
              <w:top w:val="nil"/>
              <w:left w:val="nil"/>
              <w:bottom w:val="single" w:sz="4" w:space="0" w:color="auto"/>
              <w:right w:val="single" w:sz="4" w:space="0" w:color="auto"/>
            </w:tcBorders>
            <w:shd w:val="clear" w:color="auto" w:fill="auto"/>
            <w:noWrap/>
            <w:vAlign w:val="bottom"/>
            <w:hideMark/>
          </w:tcPr>
          <w:p w14:paraId="06E08648"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R0310</w:t>
            </w:r>
          </w:p>
        </w:tc>
        <w:tc>
          <w:tcPr>
            <w:tcW w:w="1370" w:type="dxa"/>
            <w:tcBorders>
              <w:top w:val="nil"/>
              <w:left w:val="nil"/>
              <w:bottom w:val="single" w:sz="4" w:space="0" w:color="auto"/>
              <w:right w:val="single" w:sz="4" w:space="0" w:color="auto"/>
            </w:tcBorders>
            <w:shd w:val="clear" w:color="auto" w:fill="auto"/>
            <w:noWrap/>
            <w:vAlign w:val="center"/>
            <w:hideMark/>
          </w:tcPr>
          <w:p w14:paraId="6E8C2470"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14 100 048</w:t>
            </w:r>
          </w:p>
        </w:tc>
      </w:tr>
      <w:tr w:rsidR="00CF135B" w:rsidRPr="00CF135B" w14:paraId="4F8C9B1C"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7B8FB3B6"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Horní mez minimálního kapitálového požadavku (MCR)</w:t>
            </w:r>
          </w:p>
        </w:tc>
        <w:tc>
          <w:tcPr>
            <w:tcW w:w="799" w:type="dxa"/>
            <w:tcBorders>
              <w:top w:val="nil"/>
              <w:left w:val="nil"/>
              <w:bottom w:val="single" w:sz="4" w:space="0" w:color="auto"/>
              <w:right w:val="single" w:sz="4" w:space="0" w:color="auto"/>
            </w:tcBorders>
            <w:shd w:val="clear" w:color="auto" w:fill="auto"/>
            <w:noWrap/>
            <w:vAlign w:val="bottom"/>
            <w:hideMark/>
          </w:tcPr>
          <w:p w14:paraId="52EE520A"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R0320</w:t>
            </w:r>
          </w:p>
        </w:tc>
        <w:tc>
          <w:tcPr>
            <w:tcW w:w="1370" w:type="dxa"/>
            <w:tcBorders>
              <w:top w:val="nil"/>
              <w:left w:val="nil"/>
              <w:bottom w:val="single" w:sz="4" w:space="0" w:color="auto"/>
              <w:right w:val="single" w:sz="4" w:space="0" w:color="auto"/>
            </w:tcBorders>
            <w:shd w:val="clear" w:color="auto" w:fill="auto"/>
            <w:noWrap/>
            <w:vAlign w:val="center"/>
            <w:hideMark/>
          </w:tcPr>
          <w:p w14:paraId="1BCE2C77"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7 260 544</w:t>
            </w:r>
          </w:p>
        </w:tc>
      </w:tr>
      <w:tr w:rsidR="00CF135B" w:rsidRPr="00CF135B" w14:paraId="426D04CC"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60275EC1"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Dolní mez minimálního kapitálového požadavku (MCR)</w:t>
            </w:r>
          </w:p>
        </w:tc>
        <w:tc>
          <w:tcPr>
            <w:tcW w:w="799" w:type="dxa"/>
            <w:tcBorders>
              <w:top w:val="nil"/>
              <w:left w:val="nil"/>
              <w:bottom w:val="single" w:sz="4" w:space="0" w:color="auto"/>
              <w:right w:val="single" w:sz="4" w:space="0" w:color="auto"/>
            </w:tcBorders>
            <w:shd w:val="clear" w:color="auto" w:fill="auto"/>
            <w:noWrap/>
            <w:vAlign w:val="bottom"/>
            <w:hideMark/>
          </w:tcPr>
          <w:p w14:paraId="616B0D4B"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R0330</w:t>
            </w:r>
          </w:p>
        </w:tc>
        <w:tc>
          <w:tcPr>
            <w:tcW w:w="1370" w:type="dxa"/>
            <w:tcBorders>
              <w:top w:val="nil"/>
              <w:left w:val="nil"/>
              <w:bottom w:val="single" w:sz="4" w:space="0" w:color="auto"/>
              <w:right w:val="single" w:sz="4" w:space="0" w:color="auto"/>
            </w:tcBorders>
            <w:shd w:val="clear" w:color="auto" w:fill="auto"/>
            <w:noWrap/>
            <w:vAlign w:val="center"/>
            <w:hideMark/>
          </w:tcPr>
          <w:p w14:paraId="62E9E7C3"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4 033 635</w:t>
            </w:r>
          </w:p>
        </w:tc>
      </w:tr>
      <w:tr w:rsidR="00CF135B" w:rsidRPr="00CF135B" w14:paraId="07D057D0"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6B5DE198"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Kombinovaný minimální kapitálový požadavek (MCR)</w:t>
            </w:r>
          </w:p>
        </w:tc>
        <w:tc>
          <w:tcPr>
            <w:tcW w:w="799" w:type="dxa"/>
            <w:tcBorders>
              <w:top w:val="nil"/>
              <w:left w:val="nil"/>
              <w:bottom w:val="single" w:sz="4" w:space="0" w:color="auto"/>
              <w:right w:val="single" w:sz="4" w:space="0" w:color="auto"/>
            </w:tcBorders>
            <w:shd w:val="clear" w:color="auto" w:fill="auto"/>
            <w:noWrap/>
            <w:vAlign w:val="bottom"/>
            <w:hideMark/>
          </w:tcPr>
          <w:p w14:paraId="0BA47C1C"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R0340</w:t>
            </w:r>
          </w:p>
        </w:tc>
        <w:tc>
          <w:tcPr>
            <w:tcW w:w="1370" w:type="dxa"/>
            <w:tcBorders>
              <w:top w:val="nil"/>
              <w:left w:val="nil"/>
              <w:bottom w:val="single" w:sz="4" w:space="0" w:color="auto"/>
              <w:right w:val="single" w:sz="4" w:space="0" w:color="auto"/>
            </w:tcBorders>
            <w:shd w:val="clear" w:color="auto" w:fill="auto"/>
            <w:noWrap/>
            <w:vAlign w:val="center"/>
            <w:hideMark/>
          </w:tcPr>
          <w:p w14:paraId="4039E343"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4 033 635</w:t>
            </w:r>
          </w:p>
        </w:tc>
      </w:tr>
      <w:tr w:rsidR="00CF135B" w:rsidRPr="00CF135B" w14:paraId="789865A5"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5EC56B33" w14:textId="77777777" w:rsidR="00CF135B" w:rsidRPr="00CF135B" w:rsidRDefault="00CF135B" w:rsidP="00CF135B">
            <w:pPr>
              <w:spacing w:after="0" w:line="240" w:lineRule="auto"/>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Absolutní dolní mez minimálního kapitálového požadavku (MCR)</w:t>
            </w:r>
          </w:p>
        </w:tc>
        <w:tc>
          <w:tcPr>
            <w:tcW w:w="799" w:type="dxa"/>
            <w:tcBorders>
              <w:top w:val="nil"/>
              <w:left w:val="nil"/>
              <w:bottom w:val="single" w:sz="4" w:space="0" w:color="auto"/>
              <w:right w:val="single" w:sz="4" w:space="0" w:color="auto"/>
            </w:tcBorders>
            <w:shd w:val="clear" w:color="auto" w:fill="auto"/>
            <w:noWrap/>
            <w:vAlign w:val="bottom"/>
            <w:hideMark/>
          </w:tcPr>
          <w:p w14:paraId="56AE7CE9"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R0350</w:t>
            </w:r>
          </w:p>
        </w:tc>
        <w:tc>
          <w:tcPr>
            <w:tcW w:w="1370" w:type="dxa"/>
            <w:tcBorders>
              <w:top w:val="nil"/>
              <w:left w:val="nil"/>
              <w:bottom w:val="single" w:sz="4" w:space="0" w:color="auto"/>
              <w:right w:val="single" w:sz="4" w:space="0" w:color="auto"/>
            </w:tcBorders>
            <w:shd w:val="clear" w:color="auto" w:fill="auto"/>
            <w:noWrap/>
            <w:vAlign w:val="center"/>
            <w:hideMark/>
          </w:tcPr>
          <w:p w14:paraId="7EFADA5F"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65 612 500</w:t>
            </w:r>
          </w:p>
        </w:tc>
      </w:tr>
      <w:tr w:rsidR="00CF135B" w:rsidRPr="00CF135B" w14:paraId="168B91C0" w14:textId="77777777" w:rsidTr="00E9066F">
        <w:tc>
          <w:tcPr>
            <w:tcW w:w="7771" w:type="dxa"/>
            <w:tcBorders>
              <w:top w:val="nil"/>
              <w:left w:val="single" w:sz="4" w:space="0" w:color="auto"/>
              <w:bottom w:val="single" w:sz="4" w:space="0" w:color="auto"/>
              <w:right w:val="single" w:sz="4" w:space="0" w:color="auto"/>
            </w:tcBorders>
            <w:shd w:val="clear" w:color="auto" w:fill="auto"/>
            <w:noWrap/>
            <w:vAlign w:val="bottom"/>
            <w:hideMark/>
          </w:tcPr>
          <w:p w14:paraId="098063F4" w14:textId="77777777" w:rsidR="00CF135B" w:rsidRPr="00CF135B" w:rsidRDefault="00CF135B" w:rsidP="00CF135B">
            <w:pPr>
              <w:spacing w:after="0" w:line="240" w:lineRule="auto"/>
              <w:rPr>
                <w:rFonts w:ascii="Calibri" w:eastAsia="Times New Roman" w:hAnsi="Calibri" w:cs="Calibri"/>
                <w:b/>
                <w:bCs/>
                <w:color w:val="000000"/>
                <w:sz w:val="20"/>
                <w:szCs w:val="20"/>
                <w:lang w:eastAsia="cs-CZ"/>
              </w:rPr>
            </w:pPr>
            <w:r w:rsidRPr="00CF135B">
              <w:rPr>
                <w:rFonts w:ascii="Calibri" w:eastAsia="Times New Roman" w:hAnsi="Calibri" w:cs="Calibri"/>
                <w:b/>
                <w:bCs/>
                <w:color w:val="000000"/>
                <w:sz w:val="20"/>
                <w:szCs w:val="20"/>
                <w:lang w:eastAsia="cs-CZ"/>
              </w:rPr>
              <w:t>Minimální kapitálový požadavek</w:t>
            </w:r>
          </w:p>
        </w:tc>
        <w:tc>
          <w:tcPr>
            <w:tcW w:w="799" w:type="dxa"/>
            <w:tcBorders>
              <w:top w:val="nil"/>
              <w:left w:val="nil"/>
              <w:bottom w:val="single" w:sz="4" w:space="0" w:color="auto"/>
              <w:right w:val="single" w:sz="4" w:space="0" w:color="auto"/>
            </w:tcBorders>
            <w:shd w:val="clear" w:color="auto" w:fill="auto"/>
            <w:noWrap/>
            <w:vAlign w:val="bottom"/>
            <w:hideMark/>
          </w:tcPr>
          <w:p w14:paraId="1D87489B"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R0400</w:t>
            </w:r>
          </w:p>
        </w:tc>
        <w:tc>
          <w:tcPr>
            <w:tcW w:w="1370" w:type="dxa"/>
            <w:tcBorders>
              <w:top w:val="nil"/>
              <w:left w:val="nil"/>
              <w:bottom w:val="single" w:sz="4" w:space="0" w:color="auto"/>
              <w:right w:val="single" w:sz="4" w:space="0" w:color="auto"/>
            </w:tcBorders>
            <w:shd w:val="clear" w:color="auto" w:fill="auto"/>
            <w:noWrap/>
            <w:vAlign w:val="center"/>
            <w:hideMark/>
          </w:tcPr>
          <w:p w14:paraId="69F9284A" w14:textId="77777777" w:rsidR="00CF135B" w:rsidRPr="00CF135B" w:rsidRDefault="00CF135B" w:rsidP="00CF135B">
            <w:pPr>
              <w:spacing w:after="0" w:line="240" w:lineRule="auto"/>
              <w:jc w:val="center"/>
              <w:rPr>
                <w:rFonts w:ascii="Calibri" w:eastAsia="Times New Roman" w:hAnsi="Calibri" w:cs="Calibri"/>
                <w:color w:val="000000"/>
                <w:sz w:val="20"/>
                <w:szCs w:val="20"/>
                <w:lang w:eastAsia="cs-CZ"/>
              </w:rPr>
            </w:pPr>
            <w:r w:rsidRPr="00CF135B">
              <w:rPr>
                <w:rFonts w:ascii="Calibri" w:eastAsia="Times New Roman" w:hAnsi="Calibri" w:cs="Calibri"/>
                <w:color w:val="000000"/>
                <w:sz w:val="20"/>
                <w:szCs w:val="20"/>
                <w:lang w:eastAsia="cs-CZ"/>
              </w:rPr>
              <w:t>65 612 500</w:t>
            </w:r>
          </w:p>
        </w:tc>
      </w:tr>
    </w:tbl>
    <w:p w14:paraId="1A436CFC" w14:textId="77777777" w:rsidR="00976DA1" w:rsidRDefault="00976DA1" w:rsidP="00FA5B54"/>
    <w:sectPr w:rsidR="00976DA1" w:rsidSect="006F7C7B">
      <w:headerReference w:type="default" r:id="rId16"/>
      <w:footerReference w:type="default" r:id="rId17"/>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3E6E" w14:textId="77777777" w:rsidR="00982CD1" w:rsidRDefault="00982CD1" w:rsidP="00B46DED">
      <w:pPr>
        <w:spacing w:after="0" w:line="240" w:lineRule="auto"/>
      </w:pPr>
      <w:r>
        <w:separator/>
      </w:r>
    </w:p>
  </w:endnote>
  <w:endnote w:type="continuationSeparator" w:id="0">
    <w:p w14:paraId="6E2E005E" w14:textId="77777777" w:rsidR="00982CD1" w:rsidRDefault="00982CD1" w:rsidP="00B4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5E6" w14:textId="77777777" w:rsidR="00D84197" w:rsidRDefault="00D84197">
    <w:pPr>
      <w:pStyle w:val="Zpat"/>
      <w:jc w:val="right"/>
    </w:pPr>
  </w:p>
  <w:p w14:paraId="33D17DF8" w14:textId="77777777" w:rsidR="00D84197" w:rsidRDefault="00D841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56037783"/>
      <w:docPartObj>
        <w:docPartGallery w:val="Page Numbers (Bottom of Page)"/>
        <w:docPartUnique/>
      </w:docPartObj>
    </w:sdtPr>
    <w:sdtEndPr/>
    <w:sdtContent>
      <w:sdt>
        <w:sdtPr>
          <w:rPr>
            <w:sz w:val="18"/>
            <w:szCs w:val="18"/>
          </w:rPr>
          <w:id w:val="-9989317"/>
          <w:docPartObj>
            <w:docPartGallery w:val="Page Numbers (Top of Page)"/>
            <w:docPartUnique/>
          </w:docPartObj>
        </w:sdtPr>
        <w:sdtEndPr/>
        <w:sdtContent>
          <w:p w14:paraId="2E7E2E27" w14:textId="71DC1C6B" w:rsidR="00D84197" w:rsidRPr="006F7C7B" w:rsidRDefault="00D84197">
            <w:pPr>
              <w:pStyle w:val="Zpat"/>
              <w:jc w:val="right"/>
              <w:rPr>
                <w:sz w:val="18"/>
                <w:szCs w:val="18"/>
              </w:rPr>
            </w:pPr>
            <w:r w:rsidRPr="006F7C7B">
              <w:rPr>
                <w:sz w:val="18"/>
                <w:szCs w:val="18"/>
              </w:rPr>
              <w:t xml:space="preserve">Stránka </w:t>
            </w:r>
            <w:r w:rsidRPr="006F7C7B">
              <w:rPr>
                <w:b/>
                <w:bCs/>
                <w:sz w:val="20"/>
                <w:szCs w:val="20"/>
              </w:rPr>
              <w:fldChar w:fldCharType="begin"/>
            </w:r>
            <w:r w:rsidRPr="006F7C7B">
              <w:rPr>
                <w:b/>
                <w:bCs/>
                <w:sz w:val="18"/>
                <w:szCs w:val="18"/>
              </w:rPr>
              <w:instrText>PAGE</w:instrText>
            </w:r>
            <w:r w:rsidRPr="006F7C7B">
              <w:rPr>
                <w:b/>
                <w:bCs/>
                <w:sz w:val="20"/>
                <w:szCs w:val="20"/>
              </w:rPr>
              <w:fldChar w:fldCharType="separate"/>
            </w:r>
            <w:r w:rsidR="00872DA1" w:rsidRPr="006F7C7B">
              <w:rPr>
                <w:b/>
                <w:bCs/>
                <w:noProof/>
                <w:sz w:val="18"/>
                <w:szCs w:val="18"/>
              </w:rPr>
              <w:t>29</w:t>
            </w:r>
            <w:r w:rsidRPr="006F7C7B">
              <w:rPr>
                <w:b/>
                <w:bCs/>
                <w:sz w:val="20"/>
                <w:szCs w:val="20"/>
              </w:rPr>
              <w:fldChar w:fldCharType="end"/>
            </w:r>
            <w:r w:rsidRPr="006F7C7B">
              <w:rPr>
                <w:sz w:val="18"/>
                <w:szCs w:val="18"/>
              </w:rPr>
              <w:t xml:space="preserve"> z </w:t>
            </w:r>
            <w:r w:rsidRPr="006F7C7B">
              <w:rPr>
                <w:b/>
                <w:bCs/>
                <w:sz w:val="20"/>
                <w:szCs w:val="20"/>
              </w:rPr>
              <w:fldChar w:fldCharType="begin"/>
            </w:r>
            <w:r w:rsidRPr="006F7C7B">
              <w:rPr>
                <w:b/>
                <w:bCs/>
                <w:sz w:val="18"/>
                <w:szCs w:val="18"/>
              </w:rPr>
              <w:instrText>NUMPAGES</w:instrText>
            </w:r>
            <w:r w:rsidRPr="006F7C7B">
              <w:rPr>
                <w:b/>
                <w:bCs/>
                <w:sz w:val="20"/>
                <w:szCs w:val="20"/>
              </w:rPr>
              <w:fldChar w:fldCharType="separate"/>
            </w:r>
            <w:r w:rsidR="00872DA1" w:rsidRPr="006F7C7B">
              <w:rPr>
                <w:b/>
                <w:bCs/>
                <w:noProof/>
                <w:sz w:val="18"/>
                <w:szCs w:val="18"/>
              </w:rPr>
              <w:t>29</w:t>
            </w:r>
            <w:r w:rsidRPr="006F7C7B">
              <w:rPr>
                <w:b/>
                <w:bCs/>
                <w:sz w:val="20"/>
                <w:szCs w:val="20"/>
              </w:rPr>
              <w:fldChar w:fldCharType="end"/>
            </w:r>
          </w:p>
        </w:sdtContent>
      </w:sdt>
    </w:sdtContent>
  </w:sdt>
  <w:p w14:paraId="39BD5487" w14:textId="77777777" w:rsidR="00D84197" w:rsidRDefault="00D841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18BF" w14:textId="77777777" w:rsidR="00982CD1" w:rsidRDefault="00982CD1" w:rsidP="00B46DED">
      <w:pPr>
        <w:spacing w:after="0" w:line="240" w:lineRule="auto"/>
      </w:pPr>
      <w:r>
        <w:separator/>
      </w:r>
    </w:p>
  </w:footnote>
  <w:footnote w:type="continuationSeparator" w:id="0">
    <w:p w14:paraId="12181077" w14:textId="77777777" w:rsidR="00982CD1" w:rsidRDefault="00982CD1" w:rsidP="00B4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5641" w14:textId="77777777" w:rsidR="00D84197" w:rsidRDefault="00D84197" w:rsidP="00B46DED">
    <w:pPr>
      <w:pStyle w:val="Zhlav"/>
      <w:jc w:val="right"/>
    </w:pPr>
    <w:r>
      <w:rPr>
        <w:noProof/>
        <w:lang w:eastAsia="cs-CZ"/>
      </w:rPr>
      <w:drawing>
        <wp:inline distT="0" distB="0" distL="0" distR="0" wp14:anchorId="68465EEB" wp14:editId="6EB44A64">
          <wp:extent cx="685800" cy="431390"/>
          <wp:effectExtent l="0" t="0" r="0" b="698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talitas_malé.jpg"/>
                  <pic:cNvPicPr/>
                </pic:nvPicPr>
                <pic:blipFill>
                  <a:blip r:embed="rId1">
                    <a:extLst>
                      <a:ext uri="{28A0092B-C50C-407E-A947-70E740481C1C}">
                        <a14:useLocalDpi xmlns:a14="http://schemas.microsoft.com/office/drawing/2010/main" val="0"/>
                      </a:ext>
                    </a:extLst>
                  </a:blip>
                  <a:stretch>
                    <a:fillRect/>
                  </a:stretch>
                </pic:blipFill>
                <pic:spPr>
                  <a:xfrm>
                    <a:off x="0" y="0"/>
                    <a:ext cx="717077" cy="451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EBB7" w14:textId="77777777" w:rsidR="00FA5B54" w:rsidRDefault="00FA5B54">
    <w:pPr>
      <w:pStyle w:val="Zhlav"/>
    </w:pPr>
    <w:r>
      <w:rPr>
        <w:noProof/>
        <w:lang w:eastAsia="cs-CZ"/>
      </w:rPr>
      <w:drawing>
        <wp:anchor distT="0" distB="0" distL="114300" distR="114300" simplePos="0" relativeHeight="251660288" behindDoc="1" locked="0" layoutInCell="1" allowOverlap="1" wp14:anchorId="10A60C85" wp14:editId="4D3B0F40">
          <wp:simplePos x="0" y="0"/>
          <wp:positionH relativeFrom="column">
            <wp:posOffset>5629275</wp:posOffset>
          </wp:positionH>
          <wp:positionV relativeFrom="paragraph">
            <wp:posOffset>-286385</wp:posOffset>
          </wp:positionV>
          <wp:extent cx="752475" cy="466725"/>
          <wp:effectExtent l="0" t="0" r="9525" b="9525"/>
          <wp:wrapTight wrapText="bothSides">
            <wp:wrapPolygon edited="0">
              <wp:start x="0" y="0"/>
              <wp:lineTo x="0" y="21159"/>
              <wp:lineTo x="21327" y="21159"/>
              <wp:lineTo x="21327"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76D0" w14:textId="77777777" w:rsidR="00D84197" w:rsidRDefault="00D84197" w:rsidP="00B46DED">
    <w:pPr>
      <w:pStyle w:val="Zhlav"/>
      <w:jc w:val="right"/>
    </w:pPr>
    <w:r>
      <w:rPr>
        <w:noProof/>
        <w:lang w:eastAsia="cs-CZ"/>
      </w:rPr>
      <w:drawing>
        <wp:anchor distT="0" distB="0" distL="114300" distR="114300" simplePos="0" relativeHeight="251658240" behindDoc="1" locked="0" layoutInCell="1" allowOverlap="1" wp14:anchorId="1596C32F" wp14:editId="000FE0A3">
          <wp:simplePos x="0" y="0"/>
          <wp:positionH relativeFrom="column">
            <wp:posOffset>5481955</wp:posOffset>
          </wp:positionH>
          <wp:positionV relativeFrom="paragraph">
            <wp:posOffset>-182880</wp:posOffset>
          </wp:positionV>
          <wp:extent cx="685800" cy="431390"/>
          <wp:effectExtent l="0" t="0" r="0" b="6985"/>
          <wp:wrapTight wrapText="bothSides">
            <wp:wrapPolygon edited="0">
              <wp:start x="0" y="0"/>
              <wp:lineTo x="0" y="20996"/>
              <wp:lineTo x="21000" y="20996"/>
              <wp:lineTo x="2100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talitas_malé.jpg"/>
                  <pic:cNvPicPr/>
                </pic:nvPicPr>
                <pic:blipFill>
                  <a:blip r:embed="rId1">
                    <a:extLst>
                      <a:ext uri="{28A0092B-C50C-407E-A947-70E740481C1C}">
                        <a14:useLocalDpi xmlns:a14="http://schemas.microsoft.com/office/drawing/2010/main" val="0"/>
                      </a:ext>
                    </a:extLst>
                  </a:blip>
                  <a:stretch>
                    <a:fillRect/>
                  </a:stretch>
                </pic:blipFill>
                <pic:spPr>
                  <a:xfrm>
                    <a:off x="0" y="0"/>
                    <a:ext cx="685800" cy="431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6D0"/>
    <w:multiLevelType w:val="hybridMultilevel"/>
    <w:tmpl w:val="AD7887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B4D3B87"/>
    <w:multiLevelType w:val="hybridMultilevel"/>
    <w:tmpl w:val="C054E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4D50C9"/>
    <w:multiLevelType w:val="hybridMultilevel"/>
    <w:tmpl w:val="A52E85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1427C1"/>
    <w:multiLevelType w:val="hybridMultilevel"/>
    <w:tmpl w:val="C33095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73C006C"/>
    <w:multiLevelType w:val="hybridMultilevel"/>
    <w:tmpl w:val="D13ECB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0277"/>
    <w:multiLevelType w:val="hybridMultilevel"/>
    <w:tmpl w:val="C236252E"/>
    <w:lvl w:ilvl="0" w:tplc="65340204">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9405046"/>
    <w:multiLevelType w:val="multilevel"/>
    <w:tmpl w:val="8B50ECA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A85D06"/>
    <w:multiLevelType w:val="hybridMultilevel"/>
    <w:tmpl w:val="09E02A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203640"/>
    <w:multiLevelType w:val="hybridMultilevel"/>
    <w:tmpl w:val="FE9E7C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3691DF1"/>
    <w:multiLevelType w:val="hybridMultilevel"/>
    <w:tmpl w:val="5EF0ACC6"/>
    <w:lvl w:ilvl="0" w:tplc="E41241B6">
      <w:start w:val="1"/>
      <w:numFmt w:val="lowerLetter"/>
      <w:lvlText w:val="%1)"/>
      <w:lvlJc w:val="left"/>
      <w:pPr>
        <w:ind w:left="1489" w:hanging="705"/>
      </w:pPr>
      <w:rPr>
        <w:rFonts w:hint="default"/>
      </w:rPr>
    </w:lvl>
    <w:lvl w:ilvl="1" w:tplc="04050019" w:tentative="1">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10" w15:restartNumberingAfterBreak="0">
    <w:nsid w:val="55AE35AA"/>
    <w:multiLevelType w:val="hybridMultilevel"/>
    <w:tmpl w:val="83E8D0E4"/>
    <w:lvl w:ilvl="0" w:tplc="4D52C7A4">
      <w:start w:val="3"/>
      <w:numFmt w:val="bullet"/>
      <w:lvlText w:val="-"/>
      <w:lvlJc w:val="left"/>
      <w:pPr>
        <w:ind w:left="1770" w:hanging="360"/>
      </w:pPr>
      <w:rPr>
        <w:rFonts w:ascii="Times New Roman" w:eastAsiaTheme="minorHAnsi"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1" w15:restartNumberingAfterBreak="0">
    <w:nsid w:val="5BC4305B"/>
    <w:multiLevelType w:val="hybridMultilevel"/>
    <w:tmpl w:val="CEF87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D706FC"/>
    <w:multiLevelType w:val="hybridMultilevel"/>
    <w:tmpl w:val="77F4609A"/>
    <w:lvl w:ilvl="0" w:tplc="1E20F188">
      <w:start w:val="1"/>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6314377B"/>
    <w:multiLevelType w:val="hybridMultilevel"/>
    <w:tmpl w:val="F5C4E62E"/>
    <w:lvl w:ilvl="0" w:tplc="5490AD68">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F04862"/>
    <w:multiLevelType w:val="hybridMultilevel"/>
    <w:tmpl w:val="5D04EB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459747F"/>
    <w:multiLevelType w:val="hybridMultilevel"/>
    <w:tmpl w:val="E3467E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9D815C4"/>
    <w:multiLevelType w:val="hybridMultilevel"/>
    <w:tmpl w:val="8A402B62"/>
    <w:lvl w:ilvl="0" w:tplc="1F848D9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11"/>
  </w:num>
  <w:num w:numId="4">
    <w:abstractNumId w:val="9"/>
  </w:num>
  <w:num w:numId="5">
    <w:abstractNumId w:val="2"/>
  </w:num>
  <w:num w:numId="6">
    <w:abstractNumId w:val="10"/>
  </w:num>
  <w:num w:numId="7">
    <w:abstractNumId w:val="15"/>
  </w:num>
  <w:num w:numId="8">
    <w:abstractNumId w:val="0"/>
  </w:num>
  <w:num w:numId="9">
    <w:abstractNumId w:val="3"/>
  </w:num>
  <w:num w:numId="10">
    <w:abstractNumId w:val="8"/>
  </w:num>
  <w:num w:numId="11">
    <w:abstractNumId w:val="14"/>
  </w:num>
  <w:num w:numId="12">
    <w:abstractNumId w:val="6"/>
  </w:num>
  <w:num w:numId="13">
    <w:abstractNumId w:val="1"/>
  </w:num>
  <w:num w:numId="14">
    <w:abstractNumId w:val="16"/>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ED"/>
    <w:rsid w:val="00001B70"/>
    <w:rsid w:val="00004000"/>
    <w:rsid w:val="00004126"/>
    <w:rsid w:val="0000482B"/>
    <w:rsid w:val="00007030"/>
    <w:rsid w:val="00013EA6"/>
    <w:rsid w:val="000200C8"/>
    <w:rsid w:val="000245CE"/>
    <w:rsid w:val="00026C82"/>
    <w:rsid w:val="00034C89"/>
    <w:rsid w:val="0004105D"/>
    <w:rsid w:val="0004458C"/>
    <w:rsid w:val="000505F2"/>
    <w:rsid w:val="00052178"/>
    <w:rsid w:val="00062CB5"/>
    <w:rsid w:val="00064EBB"/>
    <w:rsid w:val="000656F6"/>
    <w:rsid w:val="00067CC9"/>
    <w:rsid w:val="0007001D"/>
    <w:rsid w:val="00072717"/>
    <w:rsid w:val="00080A3F"/>
    <w:rsid w:val="00092A69"/>
    <w:rsid w:val="00094757"/>
    <w:rsid w:val="000956D7"/>
    <w:rsid w:val="00096FEB"/>
    <w:rsid w:val="000A12E4"/>
    <w:rsid w:val="000A34E7"/>
    <w:rsid w:val="000A5B99"/>
    <w:rsid w:val="000A6023"/>
    <w:rsid w:val="000A6680"/>
    <w:rsid w:val="000B3ED3"/>
    <w:rsid w:val="000B4256"/>
    <w:rsid w:val="000B4B0F"/>
    <w:rsid w:val="000C3B3D"/>
    <w:rsid w:val="000C7E69"/>
    <w:rsid w:val="000D09E1"/>
    <w:rsid w:val="000D2680"/>
    <w:rsid w:val="000D54B6"/>
    <w:rsid w:val="000D6540"/>
    <w:rsid w:val="000E348C"/>
    <w:rsid w:val="000E41BA"/>
    <w:rsid w:val="000E542D"/>
    <w:rsid w:val="000E661E"/>
    <w:rsid w:val="000F01A2"/>
    <w:rsid w:val="000F636F"/>
    <w:rsid w:val="000F6ED6"/>
    <w:rsid w:val="000F766C"/>
    <w:rsid w:val="00104A02"/>
    <w:rsid w:val="0010580D"/>
    <w:rsid w:val="00111446"/>
    <w:rsid w:val="00112D4F"/>
    <w:rsid w:val="001140BE"/>
    <w:rsid w:val="00116809"/>
    <w:rsid w:val="00116923"/>
    <w:rsid w:val="001226AD"/>
    <w:rsid w:val="00123FAC"/>
    <w:rsid w:val="00127946"/>
    <w:rsid w:val="00131C99"/>
    <w:rsid w:val="001404A1"/>
    <w:rsid w:val="00144FB7"/>
    <w:rsid w:val="00146DDE"/>
    <w:rsid w:val="00151F39"/>
    <w:rsid w:val="00162BAA"/>
    <w:rsid w:val="00165E1F"/>
    <w:rsid w:val="001739CC"/>
    <w:rsid w:val="0017410E"/>
    <w:rsid w:val="00174E67"/>
    <w:rsid w:val="001800A0"/>
    <w:rsid w:val="00182CBC"/>
    <w:rsid w:val="00187FE8"/>
    <w:rsid w:val="00190D3F"/>
    <w:rsid w:val="00193D40"/>
    <w:rsid w:val="001960F3"/>
    <w:rsid w:val="001A1E39"/>
    <w:rsid w:val="001B2341"/>
    <w:rsid w:val="001B314F"/>
    <w:rsid w:val="001C3D49"/>
    <w:rsid w:val="001C6ADA"/>
    <w:rsid w:val="001C6E1D"/>
    <w:rsid w:val="001C7FA2"/>
    <w:rsid w:val="001D06C4"/>
    <w:rsid w:val="001D43E8"/>
    <w:rsid w:val="001D4AD8"/>
    <w:rsid w:val="001D5910"/>
    <w:rsid w:val="001D593A"/>
    <w:rsid w:val="001D671C"/>
    <w:rsid w:val="001D69FF"/>
    <w:rsid w:val="001E0D6C"/>
    <w:rsid w:val="001E2614"/>
    <w:rsid w:val="001E3C40"/>
    <w:rsid w:val="001E4870"/>
    <w:rsid w:val="001E59B4"/>
    <w:rsid w:val="001E6940"/>
    <w:rsid w:val="001E7B29"/>
    <w:rsid w:val="001E7F31"/>
    <w:rsid w:val="001F6C01"/>
    <w:rsid w:val="001F6D95"/>
    <w:rsid w:val="0020063E"/>
    <w:rsid w:val="00200963"/>
    <w:rsid w:val="0020246B"/>
    <w:rsid w:val="00204072"/>
    <w:rsid w:val="0021130B"/>
    <w:rsid w:val="00212052"/>
    <w:rsid w:val="00215CB3"/>
    <w:rsid w:val="00217C66"/>
    <w:rsid w:val="00220255"/>
    <w:rsid w:val="002205C2"/>
    <w:rsid w:val="00225C10"/>
    <w:rsid w:val="00226BAF"/>
    <w:rsid w:val="00226D90"/>
    <w:rsid w:val="00227C6E"/>
    <w:rsid w:val="002304D4"/>
    <w:rsid w:val="00237D73"/>
    <w:rsid w:val="00237DEA"/>
    <w:rsid w:val="00240E95"/>
    <w:rsid w:val="0024102A"/>
    <w:rsid w:val="00241164"/>
    <w:rsid w:val="0024240D"/>
    <w:rsid w:val="00251A65"/>
    <w:rsid w:val="00254684"/>
    <w:rsid w:val="00255CFD"/>
    <w:rsid w:val="00260EC7"/>
    <w:rsid w:val="002651FB"/>
    <w:rsid w:val="002659B7"/>
    <w:rsid w:val="00270D6E"/>
    <w:rsid w:val="002819B5"/>
    <w:rsid w:val="00283117"/>
    <w:rsid w:val="00286269"/>
    <w:rsid w:val="002862AA"/>
    <w:rsid w:val="00287023"/>
    <w:rsid w:val="002906E9"/>
    <w:rsid w:val="0029210B"/>
    <w:rsid w:val="002A241D"/>
    <w:rsid w:val="002A2F45"/>
    <w:rsid w:val="002A3C12"/>
    <w:rsid w:val="002A5024"/>
    <w:rsid w:val="002B18DF"/>
    <w:rsid w:val="002B1C99"/>
    <w:rsid w:val="002B41B8"/>
    <w:rsid w:val="002B4B44"/>
    <w:rsid w:val="002B525B"/>
    <w:rsid w:val="002C03C4"/>
    <w:rsid w:val="002C37CA"/>
    <w:rsid w:val="002C6B38"/>
    <w:rsid w:val="002C7C02"/>
    <w:rsid w:val="002D48AC"/>
    <w:rsid w:val="002D5F64"/>
    <w:rsid w:val="002D65E7"/>
    <w:rsid w:val="002D7CBE"/>
    <w:rsid w:val="002E0FCF"/>
    <w:rsid w:val="002E30E1"/>
    <w:rsid w:val="002E31C9"/>
    <w:rsid w:val="002E3725"/>
    <w:rsid w:val="002E631B"/>
    <w:rsid w:val="002E7C84"/>
    <w:rsid w:val="002F1A60"/>
    <w:rsid w:val="002F659A"/>
    <w:rsid w:val="00300D2A"/>
    <w:rsid w:val="003025C5"/>
    <w:rsid w:val="003036FA"/>
    <w:rsid w:val="003041AA"/>
    <w:rsid w:val="00306A2D"/>
    <w:rsid w:val="00311274"/>
    <w:rsid w:val="003133A1"/>
    <w:rsid w:val="00313A84"/>
    <w:rsid w:val="00313ABF"/>
    <w:rsid w:val="00314524"/>
    <w:rsid w:val="00316179"/>
    <w:rsid w:val="00316270"/>
    <w:rsid w:val="003166BB"/>
    <w:rsid w:val="00320125"/>
    <w:rsid w:val="003201C4"/>
    <w:rsid w:val="00323ED6"/>
    <w:rsid w:val="003277FB"/>
    <w:rsid w:val="00331B7E"/>
    <w:rsid w:val="00332C06"/>
    <w:rsid w:val="00333C88"/>
    <w:rsid w:val="00335A5A"/>
    <w:rsid w:val="00337E82"/>
    <w:rsid w:val="00342821"/>
    <w:rsid w:val="00342BDC"/>
    <w:rsid w:val="0035073C"/>
    <w:rsid w:val="0035107E"/>
    <w:rsid w:val="003542CB"/>
    <w:rsid w:val="003629A5"/>
    <w:rsid w:val="003655EB"/>
    <w:rsid w:val="00366012"/>
    <w:rsid w:val="003715C3"/>
    <w:rsid w:val="00371EDD"/>
    <w:rsid w:val="0037241C"/>
    <w:rsid w:val="0037263A"/>
    <w:rsid w:val="00373F93"/>
    <w:rsid w:val="00376AE3"/>
    <w:rsid w:val="00377935"/>
    <w:rsid w:val="003805B5"/>
    <w:rsid w:val="00381B96"/>
    <w:rsid w:val="00383D6C"/>
    <w:rsid w:val="00384E1A"/>
    <w:rsid w:val="00385FD4"/>
    <w:rsid w:val="00386F1E"/>
    <w:rsid w:val="00391793"/>
    <w:rsid w:val="003A2027"/>
    <w:rsid w:val="003A4850"/>
    <w:rsid w:val="003A6AA6"/>
    <w:rsid w:val="003A7217"/>
    <w:rsid w:val="003B3C69"/>
    <w:rsid w:val="003B4FAA"/>
    <w:rsid w:val="003B703F"/>
    <w:rsid w:val="003C1B2B"/>
    <w:rsid w:val="003C48C7"/>
    <w:rsid w:val="003C4BAC"/>
    <w:rsid w:val="003C6CA6"/>
    <w:rsid w:val="003D6423"/>
    <w:rsid w:val="003E1282"/>
    <w:rsid w:val="003E241A"/>
    <w:rsid w:val="003E3F76"/>
    <w:rsid w:val="003E43C8"/>
    <w:rsid w:val="003F03F1"/>
    <w:rsid w:val="003F1EDB"/>
    <w:rsid w:val="0040075B"/>
    <w:rsid w:val="00400B70"/>
    <w:rsid w:val="004032E4"/>
    <w:rsid w:val="0040515C"/>
    <w:rsid w:val="00410551"/>
    <w:rsid w:val="004125CE"/>
    <w:rsid w:val="00414181"/>
    <w:rsid w:val="00423857"/>
    <w:rsid w:val="00423A92"/>
    <w:rsid w:val="00427AA1"/>
    <w:rsid w:val="004318CD"/>
    <w:rsid w:val="00431C7D"/>
    <w:rsid w:val="00432C13"/>
    <w:rsid w:val="004331A5"/>
    <w:rsid w:val="00434E6C"/>
    <w:rsid w:val="00440F6F"/>
    <w:rsid w:val="0044403C"/>
    <w:rsid w:val="00447BBD"/>
    <w:rsid w:val="0045129A"/>
    <w:rsid w:val="0045411F"/>
    <w:rsid w:val="00454ADE"/>
    <w:rsid w:val="0045622E"/>
    <w:rsid w:val="0045703C"/>
    <w:rsid w:val="00460EB4"/>
    <w:rsid w:val="00465BCF"/>
    <w:rsid w:val="00467473"/>
    <w:rsid w:val="004702B6"/>
    <w:rsid w:val="00471256"/>
    <w:rsid w:val="00472B06"/>
    <w:rsid w:val="0047531E"/>
    <w:rsid w:val="00476238"/>
    <w:rsid w:val="0047764A"/>
    <w:rsid w:val="004809DB"/>
    <w:rsid w:val="00484F50"/>
    <w:rsid w:val="0049078A"/>
    <w:rsid w:val="0049261A"/>
    <w:rsid w:val="00496E8A"/>
    <w:rsid w:val="004A2127"/>
    <w:rsid w:val="004A24CB"/>
    <w:rsid w:val="004A2B6B"/>
    <w:rsid w:val="004B14DC"/>
    <w:rsid w:val="004B1F7F"/>
    <w:rsid w:val="004B21E8"/>
    <w:rsid w:val="004B3B3C"/>
    <w:rsid w:val="004B4824"/>
    <w:rsid w:val="004B5AA9"/>
    <w:rsid w:val="004B6AB7"/>
    <w:rsid w:val="004C0182"/>
    <w:rsid w:val="004C0D6E"/>
    <w:rsid w:val="004C3157"/>
    <w:rsid w:val="004C3C61"/>
    <w:rsid w:val="004C6CCB"/>
    <w:rsid w:val="004D57A3"/>
    <w:rsid w:val="004D59C6"/>
    <w:rsid w:val="004D6EBD"/>
    <w:rsid w:val="004E44A3"/>
    <w:rsid w:val="004E5018"/>
    <w:rsid w:val="004E5171"/>
    <w:rsid w:val="004E5977"/>
    <w:rsid w:val="004F1258"/>
    <w:rsid w:val="004F54B0"/>
    <w:rsid w:val="00501FF0"/>
    <w:rsid w:val="00502376"/>
    <w:rsid w:val="005050F7"/>
    <w:rsid w:val="005077CC"/>
    <w:rsid w:val="005128A9"/>
    <w:rsid w:val="00513938"/>
    <w:rsid w:val="00515F2C"/>
    <w:rsid w:val="00516B5B"/>
    <w:rsid w:val="0052066F"/>
    <w:rsid w:val="00521907"/>
    <w:rsid w:val="00526B62"/>
    <w:rsid w:val="00526EF8"/>
    <w:rsid w:val="0052767E"/>
    <w:rsid w:val="00530850"/>
    <w:rsid w:val="005343E9"/>
    <w:rsid w:val="00535AE2"/>
    <w:rsid w:val="00536885"/>
    <w:rsid w:val="00536A00"/>
    <w:rsid w:val="00536A54"/>
    <w:rsid w:val="00542110"/>
    <w:rsid w:val="005432C1"/>
    <w:rsid w:val="00545CE9"/>
    <w:rsid w:val="00546BF7"/>
    <w:rsid w:val="005503B9"/>
    <w:rsid w:val="00553702"/>
    <w:rsid w:val="005553A6"/>
    <w:rsid w:val="005566B6"/>
    <w:rsid w:val="005571E2"/>
    <w:rsid w:val="00557433"/>
    <w:rsid w:val="00557C2B"/>
    <w:rsid w:val="005606D7"/>
    <w:rsid w:val="00561972"/>
    <w:rsid w:val="00562924"/>
    <w:rsid w:val="005725F9"/>
    <w:rsid w:val="005752A6"/>
    <w:rsid w:val="00576E5D"/>
    <w:rsid w:val="005819CA"/>
    <w:rsid w:val="005825D7"/>
    <w:rsid w:val="00584705"/>
    <w:rsid w:val="005865E4"/>
    <w:rsid w:val="005943D8"/>
    <w:rsid w:val="005A0C4C"/>
    <w:rsid w:val="005A25C4"/>
    <w:rsid w:val="005A266D"/>
    <w:rsid w:val="005B3A7A"/>
    <w:rsid w:val="005B5174"/>
    <w:rsid w:val="005B6119"/>
    <w:rsid w:val="005B6404"/>
    <w:rsid w:val="005C065E"/>
    <w:rsid w:val="005C0E68"/>
    <w:rsid w:val="005C37A9"/>
    <w:rsid w:val="005C4E1C"/>
    <w:rsid w:val="005D038B"/>
    <w:rsid w:val="005D30E7"/>
    <w:rsid w:val="005E502C"/>
    <w:rsid w:val="005F04E3"/>
    <w:rsid w:val="005F2AA0"/>
    <w:rsid w:val="005F3971"/>
    <w:rsid w:val="005F6E88"/>
    <w:rsid w:val="005F74C1"/>
    <w:rsid w:val="005F7FFB"/>
    <w:rsid w:val="0060015E"/>
    <w:rsid w:val="006007EA"/>
    <w:rsid w:val="00600FC6"/>
    <w:rsid w:val="00603897"/>
    <w:rsid w:val="00605B62"/>
    <w:rsid w:val="006076D9"/>
    <w:rsid w:val="00607769"/>
    <w:rsid w:val="00610B6A"/>
    <w:rsid w:val="0061142A"/>
    <w:rsid w:val="00611864"/>
    <w:rsid w:val="00611A11"/>
    <w:rsid w:val="00612A74"/>
    <w:rsid w:val="006144E8"/>
    <w:rsid w:val="0061485E"/>
    <w:rsid w:val="00615998"/>
    <w:rsid w:val="00616015"/>
    <w:rsid w:val="00616203"/>
    <w:rsid w:val="0061744B"/>
    <w:rsid w:val="00617687"/>
    <w:rsid w:val="00617F1A"/>
    <w:rsid w:val="00620121"/>
    <w:rsid w:val="006253FB"/>
    <w:rsid w:val="00630D75"/>
    <w:rsid w:val="0063138B"/>
    <w:rsid w:val="00632871"/>
    <w:rsid w:val="00637780"/>
    <w:rsid w:val="00642D69"/>
    <w:rsid w:val="006441AC"/>
    <w:rsid w:val="0064614B"/>
    <w:rsid w:val="00646B20"/>
    <w:rsid w:val="00647860"/>
    <w:rsid w:val="00653D43"/>
    <w:rsid w:val="00657492"/>
    <w:rsid w:val="0066315B"/>
    <w:rsid w:val="00663604"/>
    <w:rsid w:val="00664C97"/>
    <w:rsid w:val="006653E5"/>
    <w:rsid w:val="00667CE3"/>
    <w:rsid w:val="00670E11"/>
    <w:rsid w:val="00671E01"/>
    <w:rsid w:val="006721C6"/>
    <w:rsid w:val="00683D81"/>
    <w:rsid w:val="00684766"/>
    <w:rsid w:val="00692A29"/>
    <w:rsid w:val="00692EBD"/>
    <w:rsid w:val="00693124"/>
    <w:rsid w:val="00693741"/>
    <w:rsid w:val="00695138"/>
    <w:rsid w:val="006951EF"/>
    <w:rsid w:val="00696773"/>
    <w:rsid w:val="006A25BA"/>
    <w:rsid w:val="006A304D"/>
    <w:rsid w:val="006A481E"/>
    <w:rsid w:val="006A6B2A"/>
    <w:rsid w:val="006B2C23"/>
    <w:rsid w:val="006B2EC3"/>
    <w:rsid w:val="006B583E"/>
    <w:rsid w:val="006C4BCE"/>
    <w:rsid w:val="006C5CDB"/>
    <w:rsid w:val="006D1CD7"/>
    <w:rsid w:val="006D5500"/>
    <w:rsid w:val="006F070D"/>
    <w:rsid w:val="006F2024"/>
    <w:rsid w:val="006F46E4"/>
    <w:rsid w:val="006F4F2C"/>
    <w:rsid w:val="006F6CD5"/>
    <w:rsid w:val="006F7C7B"/>
    <w:rsid w:val="007008DA"/>
    <w:rsid w:val="0070095F"/>
    <w:rsid w:val="00701B33"/>
    <w:rsid w:val="00702DE8"/>
    <w:rsid w:val="00703D84"/>
    <w:rsid w:val="00707B3A"/>
    <w:rsid w:val="00710005"/>
    <w:rsid w:val="00714F93"/>
    <w:rsid w:val="00716420"/>
    <w:rsid w:val="00717910"/>
    <w:rsid w:val="007212F5"/>
    <w:rsid w:val="00724B00"/>
    <w:rsid w:val="00727CFD"/>
    <w:rsid w:val="00731252"/>
    <w:rsid w:val="00733223"/>
    <w:rsid w:val="00741127"/>
    <w:rsid w:val="00742377"/>
    <w:rsid w:val="00742BF2"/>
    <w:rsid w:val="007442D2"/>
    <w:rsid w:val="0074693F"/>
    <w:rsid w:val="007508A2"/>
    <w:rsid w:val="00750951"/>
    <w:rsid w:val="00751E1C"/>
    <w:rsid w:val="00752088"/>
    <w:rsid w:val="00754823"/>
    <w:rsid w:val="007561CC"/>
    <w:rsid w:val="0075785C"/>
    <w:rsid w:val="00763A98"/>
    <w:rsid w:val="00774EAB"/>
    <w:rsid w:val="0079059C"/>
    <w:rsid w:val="007912BD"/>
    <w:rsid w:val="007912DC"/>
    <w:rsid w:val="007961A0"/>
    <w:rsid w:val="007A0627"/>
    <w:rsid w:val="007A0EAF"/>
    <w:rsid w:val="007A15BE"/>
    <w:rsid w:val="007A3E13"/>
    <w:rsid w:val="007B439E"/>
    <w:rsid w:val="007B4480"/>
    <w:rsid w:val="007B74C5"/>
    <w:rsid w:val="007B77E6"/>
    <w:rsid w:val="007C1796"/>
    <w:rsid w:val="007C2BCA"/>
    <w:rsid w:val="007C5BAD"/>
    <w:rsid w:val="007C737B"/>
    <w:rsid w:val="007C7387"/>
    <w:rsid w:val="007D2D3C"/>
    <w:rsid w:val="007D6317"/>
    <w:rsid w:val="007D7856"/>
    <w:rsid w:val="007D7F91"/>
    <w:rsid w:val="007E07D8"/>
    <w:rsid w:val="007E6E57"/>
    <w:rsid w:val="007E770B"/>
    <w:rsid w:val="007F1345"/>
    <w:rsid w:val="007F2A00"/>
    <w:rsid w:val="007F2B2E"/>
    <w:rsid w:val="007F356C"/>
    <w:rsid w:val="00807CF0"/>
    <w:rsid w:val="00812934"/>
    <w:rsid w:val="008135B6"/>
    <w:rsid w:val="00814EA4"/>
    <w:rsid w:val="0081750F"/>
    <w:rsid w:val="00822572"/>
    <w:rsid w:val="0082362F"/>
    <w:rsid w:val="008326C4"/>
    <w:rsid w:val="008433FA"/>
    <w:rsid w:val="008437A7"/>
    <w:rsid w:val="00844BFC"/>
    <w:rsid w:val="0085578A"/>
    <w:rsid w:val="00860EA3"/>
    <w:rsid w:val="0087190F"/>
    <w:rsid w:val="00872566"/>
    <w:rsid w:val="00872627"/>
    <w:rsid w:val="00872DA1"/>
    <w:rsid w:val="0087465E"/>
    <w:rsid w:val="008759BD"/>
    <w:rsid w:val="00875A22"/>
    <w:rsid w:val="00875BF2"/>
    <w:rsid w:val="00881BC7"/>
    <w:rsid w:val="008845A7"/>
    <w:rsid w:val="0088466D"/>
    <w:rsid w:val="00887D83"/>
    <w:rsid w:val="008952D4"/>
    <w:rsid w:val="008A0CAE"/>
    <w:rsid w:val="008A3909"/>
    <w:rsid w:val="008A648A"/>
    <w:rsid w:val="008B0D25"/>
    <w:rsid w:val="008B2015"/>
    <w:rsid w:val="008B6EE6"/>
    <w:rsid w:val="008B6F88"/>
    <w:rsid w:val="008B707A"/>
    <w:rsid w:val="008C0A59"/>
    <w:rsid w:val="008C0E56"/>
    <w:rsid w:val="008C3897"/>
    <w:rsid w:val="008C447A"/>
    <w:rsid w:val="008C669A"/>
    <w:rsid w:val="008D19A1"/>
    <w:rsid w:val="008D20C7"/>
    <w:rsid w:val="008D2D1C"/>
    <w:rsid w:val="008D664E"/>
    <w:rsid w:val="008D6704"/>
    <w:rsid w:val="008D6830"/>
    <w:rsid w:val="008D6A6C"/>
    <w:rsid w:val="008E6AFC"/>
    <w:rsid w:val="008E7782"/>
    <w:rsid w:val="008E7FAA"/>
    <w:rsid w:val="00902E2E"/>
    <w:rsid w:val="00905100"/>
    <w:rsid w:val="00906DD1"/>
    <w:rsid w:val="00913A56"/>
    <w:rsid w:val="00914946"/>
    <w:rsid w:val="009178DB"/>
    <w:rsid w:val="00920418"/>
    <w:rsid w:val="0092147F"/>
    <w:rsid w:val="0092223E"/>
    <w:rsid w:val="009267F8"/>
    <w:rsid w:val="009305AF"/>
    <w:rsid w:val="009360EE"/>
    <w:rsid w:val="0094218C"/>
    <w:rsid w:val="00956722"/>
    <w:rsid w:val="00966F46"/>
    <w:rsid w:val="00967FBE"/>
    <w:rsid w:val="0097016C"/>
    <w:rsid w:val="009721F9"/>
    <w:rsid w:val="00972F05"/>
    <w:rsid w:val="0097493B"/>
    <w:rsid w:val="009761C8"/>
    <w:rsid w:val="00976DA1"/>
    <w:rsid w:val="00980E38"/>
    <w:rsid w:val="00982CD1"/>
    <w:rsid w:val="009835E2"/>
    <w:rsid w:val="009846F8"/>
    <w:rsid w:val="0099016C"/>
    <w:rsid w:val="00994CC8"/>
    <w:rsid w:val="009955B9"/>
    <w:rsid w:val="00996BEA"/>
    <w:rsid w:val="009B2BC3"/>
    <w:rsid w:val="009B4647"/>
    <w:rsid w:val="009C0AC4"/>
    <w:rsid w:val="009C36C5"/>
    <w:rsid w:val="009C3CB0"/>
    <w:rsid w:val="009D00F8"/>
    <w:rsid w:val="009D68B1"/>
    <w:rsid w:val="009D6AA1"/>
    <w:rsid w:val="009E2AB2"/>
    <w:rsid w:val="009E522D"/>
    <w:rsid w:val="009E750D"/>
    <w:rsid w:val="009F2389"/>
    <w:rsid w:val="009F2BCE"/>
    <w:rsid w:val="009F3332"/>
    <w:rsid w:val="009F55F2"/>
    <w:rsid w:val="009F5916"/>
    <w:rsid w:val="00A01FF1"/>
    <w:rsid w:val="00A062A6"/>
    <w:rsid w:val="00A10878"/>
    <w:rsid w:val="00A11262"/>
    <w:rsid w:val="00A112A8"/>
    <w:rsid w:val="00A12F62"/>
    <w:rsid w:val="00A13EE0"/>
    <w:rsid w:val="00A25CF3"/>
    <w:rsid w:val="00A32EAE"/>
    <w:rsid w:val="00A35046"/>
    <w:rsid w:val="00A3589F"/>
    <w:rsid w:val="00A41DE4"/>
    <w:rsid w:val="00A4466E"/>
    <w:rsid w:val="00A4550B"/>
    <w:rsid w:val="00A45EE5"/>
    <w:rsid w:val="00A52730"/>
    <w:rsid w:val="00A53203"/>
    <w:rsid w:val="00A56122"/>
    <w:rsid w:val="00A57CD7"/>
    <w:rsid w:val="00A62C5E"/>
    <w:rsid w:val="00A63B33"/>
    <w:rsid w:val="00A65320"/>
    <w:rsid w:val="00A6787B"/>
    <w:rsid w:val="00A712C9"/>
    <w:rsid w:val="00A75D9E"/>
    <w:rsid w:val="00A760F1"/>
    <w:rsid w:val="00A76CDD"/>
    <w:rsid w:val="00A81F2F"/>
    <w:rsid w:val="00A820EE"/>
    <w:rsid w:val="00A82130"/>
    <w:rsid w:val="00A82432"/>
    <w:rsid w:val="00A82547"/>
    <w:rsid w:val="00A83317"/>
    <w:rsid w:val="00A857C4"/>
    <w:rsid w:val="00A87D1D"/>
    <w:rsid w:val="00A91441"/>
    <w:rsid w:val="00A91AD8"/>
    <w:rsid w:val="00A937AF"/>
    <w:rsid w:val="00A93C45"/>
    <w:rsid w:val="00A94495"/>
    <w:rsid w:val="00A96433"/>
    <w:rsid w:val="00A967AF"/>
    <w:rsid w:val="00AA00C8"/>
    <w:rsid w:val="00AA18CD"/>
    <w:rsid w:val="00AA4858"/>
    <w:rsid w:val="00AA4BF1"/>
    <w:rsid w:val="00AA6DBD"/>
    <w:rsid w:val="00AB119B"/>
    <w:rsid w:val="00AB4A64"/>
    <w:rsid w:val="00AC1FEC"/>
    <w:rsid w:val="00AC51E4"/>
    <w:rsid w:val="00AC748F"/>
    <w:rsid w:val="00AD2D1F"/>
    <w:rsid w:val="00AD3BC9"/>
    <w:rsid w:val="00AD59D8"/>
    <w:rsid w:val="00AE0002"/>
    <w:rsid w:val="00AE0336"/>
    <w:rsid w:val="00AE0CA3"/>
    <w:rsid w:val="00AE2B74"/>
    <w:rsid w:val="00AE477F"/>
    <w:rsid w:val="00AE5CF8"/>
    <w:rsid w:val="00AF218D"/>
    <w:rsid w:val="00AF65B6"/>
    <w:rsid w:val="00AF7326"/>
    <w:rsid w:val="00B06F80"/>
    <w:rsid w:val="00B10188"/>
    <w:rsid w:val="00B11241"/>
    <w:rsid w:val="00B122A2"/>
    <w:rsid w:val="00B16717"/>
    <w:rsid w:val="00B26CA5"/>
    <w:rsid w:val="00B330BA"/>
    <w:rsid w:val="00B34D07"/>
    <w:rsid w:val="00B368B1"/>
    <w:rsid w:val="00B416B7"/>
    <w:rsid w:val="00B41838"/>
    <w:rsid w:val="00B42109"/>
    <w:rsid w:val="00B44919"/>
    <w:rsid w:val="00B45EC7"/>
    <w:rsid w:val="00B46DED"/>
    <w:rsid w:val="00B47F2F"/>
    <w:rsid w:val="00B52FA6"/>
    <w:rsid w:val="00B53741"/>
    <w:rsid w:val="00B5391E"/>
    <w:rsid w:val="00B61945"/>
    <w:rsid w:val="00B7740E"/>
    <w:rsid w:val="00B81622"/>
    <w:rsid w:val="00B826E4"/>
    <w:rsid w:val="00B8278E"/>
    <w:rsid w:val="00B86332"/>
    <w:rsid w:val="00B91BD5"/>
    <w:rsid w:val="00B931AD"/>
    <w:rsid w:val="00B9321D"/>
    <w:rsid w:val="00B9622E"/>
    <w:rsid w:val="00B978CB"/>
    <w:rsid w:val="00BB0324"/>
    <w:rsid w:val="00BB0E50"/>
    <w:rsid w:val="00BB362E"/>
    <w:rsid w:val="00BB5172"/>
    <w:rsid w:val="00BC15E7"/>
    <w:rsid w:val="00BC3F3D"/>
    <w:rsid w:val="00BD2D0B"/>
    <w:rsid w:val="00BD67F0"/>
    <w:rsid w:val="00BE0B0B"/>
    <w:rsid w:val="00BE141A"/>
    <w:rsid w:val="00BE2012"/>
    <w:rsid w:val="00BE6514"/>
    <w:rsid w:val="00BF38A3"/>
    <w:rsid w:val="00BF73D6"/>
    <w:rsid w:val="00C059D6"/>
    <w:rsid w:val="00C06E05"/>
    <w:rsid w:val="00C10419"/>
    <w:rsid w:val="00C12968"/>
    <w:rsid w:val="00C1444C"/>
    <w:rsid w:val="00C164E7"/>
    <w:rsid w:val="00C16800"/>
    <w:rsid w:val="00C17CDA"/>
    <w:rsid w:val="00C20CD9"/>
    <w:rsid w:val="00C21F1B"/>
    <w:rsid w:val="00C22DA6"/>
    <w:rsid w:val="00C23724"/>
    <w:rsid w:val="00C303CE"/>
    <w:rsid w:val="00C309BD"/>
    <w:rsid w:val="00C319C0"/>
    <w:rsid w:val="00C334AB"/>
    <w:rsid w:val="00C34608"/>
    <w:rsid w:val="00C4097D"/>
    <w:rsid w:val="00C42FBE"/>
    <w:rsid w:val="00C441DC"/>
    <w:rsid w:val="00C44A6D"/>
    <w:rsid w:val="00C472E4"/>
    <w:rsid w:val="00C5253F"/>
    <w:rsid w:val="00C52B98"/>
    <w:rsid w:val="00C52CF8"/>
    <w:rsid w:val="00C53FFE"/>
    <w:rsid w:val="00C60F47"/>
    <w:rsid w:val="00C7001C"/>
    <w:rsid w:val="00C70859"/>
    <w:rsid w:val="00C70A38"/>
    <w:rsid w:val="00C71A1C"/>
    <w:rsid w:val="00C7402B"/>
    <w:rsid w:val="00C751BF"/>
    <w:rsid w:val="00C75D52"/>
    <w:rsid w:val="00C764E7"/>
    <w:rsid w:val="00C76BB4"/>
    <w:rsid w:val="00C8109E"/>
    <w:rsid w:val="00C8202F"/>
    <w:rsid w:val="00C836C9"/>
    <w:rsid w:val="00C850B3"/>
    <w:rsid w:val="00C85A72"/>
    <w:rsid w:val="00C914FF"/>
    <w:rsid w:val="00C95963"/>
    <w:rsid w:val="00C95CEE"/>
    <w:rsid w:val="00C97C7D"/>
    <w:rsid w:val="00CA0C93"/>
    <w:rsid w:val="00CA1DF2"/>
    <w:rsid w:val="00CA331A"/>
    <w:rsid w:val="00CA3F89"/>
    <w:rsid w:val="00CB136C"/>
    <w:rsid w:val="00CB37F9"/>
    <w:rsid w:val="00CB3892"/>
    <w:rsid w:val="00CB490B"/>
    <w:rsid w:val="00CB6215"/>
    <w:rsid w:val="00CC0907"/>
    <w:rsid w:val="00CC2D69"/>
    <w:rsid w:val="00CC5C6B"/>
    <w:rsid w:val="00CD3A2B"/>
    <w:rsid w:val="00CD6E0B"/>
    <w:rsid w:val="00CE02A5"/>
    <w:rsid w:val="00CE25F9"/>
    <w:rsid w:val="00CE3C70"/>
    <w:rsid w:val="00CE6455"/>
    <w:rsid w:val="00CE792B"/>
    <w:rsid w:val="00CF027A"/>
    <w:rsid w:val="00CF08B0"/>
    <w:rsid w:val="00CF135B"/>
    <w:rsid w:val="00CF3B9B"/>
    <w:rsid w:val="00CF3F1F"/>
    <w:rsid w:val="00CF4115"/>
    <w:rsid w:val="00CF59D6"/>
    <w:rsid w:val="00CF6C4F"/>
    <w:rsid w:val="00D017BE"/>
    <w:rsid w:val="00D019EE"/>
    <w:rsid w:val="00D02614"/>
    <w:rsid w:val="00D07A2A"/>
    <w:rsid w:val="00D10EDC"/>
    <w:rsid w:val="00D209FF"/>
    <w:rsid w:val="00D3217D"/>
    <w:rsid w:val="00D35A84"/>
    <w:rsid w:val="00D37464"/>
    <w:rsid w:val="00D4521B"/>
    <w:rsid w:val="00D46A61"/>
    <w:rsid w:val="00D46BF4"/>
    <w:rsid w:val="00D51279"/>
    <w:rsid w:val="00D52D13"/>
    <w:rsid w:val="00D55E3D"/>
    <w:rsid w:val="00D561D9"/>
    <w:rsid w:val="00D568B6"/>
    <w:rsid w:val="00D56F41"/>
    <w:rsid w:val="00D611DC"/>
    <w:rsid w:val="00D62871"/>
    <w:rsid w:val="00D64190"/>
    <w:rsid w:val="00D6535B"/>
    <w:rsid w:val="00D704A4"/>
    <w:rsid w:val="00D70876"/>
    <w:rsid w:val="00D709B3"/>
    <w:rsid w:val="00D72288"/>
    <w:rsid w:val="00D723FD"/>
    <w:rsid w:val="00D757AA"/>
    <w:rsid w:val="00D81028"/>
    <w:rsid w:val="00D84197"/>
    <w:rsid w:val="00D90E8A"/>
    <w:rsid w:val="00D91205"/>
    <w:rsid w:val="00D918EC"/>
    <w:rsid w:val="00D93FD2"/>
    <w:rsid w:val="00D9441D"/>
    <w:rsid w:val="00D94BAA"/>
    <w:rsid w:val="00D95051"/>
    <w:rsid w:val="00DA60A2"/>
    <w:rsid w:val="00DB559A"/>
    <w:rsid w:val="00DB5A27"/>
    <w:rsid w:val="00DB7D75"/>
    <w:rsid w:val="00DC4BF8"/>
    <w:rsid w:val="00DC60E9"/>
    <w:rsid w:val="00DC7EE1"/>
    <w:rsid w:val="00DD38A6"/>
    <w:rsid w:val="00DD3C13"/>
    <w:rsid w:val="00DD79F8"/>
    <w:rsid w:val="00DE0D8D"/>
    <w:rsid w:val="00DE2C88"/>
    <w:rsid w:val="00DE2FFE"/>
    <w:rsid w:val="00DE3390"/>
    <w:rsid w:val="00DE348D"/>
    <w:rsid w:val="00DE43A4"/>
    <w:rsid w:val="00DE5FCA"/>
    <w:rsid w:val="00DE7722"/>
    <w:rsid w:val="00DE7FB9"/>
    <w:rsid w:val="00DF231E"/>
    <w:rsid w:val="00DF5785"/>
    <w:rsid w:val="00DF581B"/>
    <w:rsid w:val="00DF6044"/>
    <w:rsid w:val="00E00FFE"/>
    <w:rsid w:val="00E020D0"/>
    <w:rsid w:val="00E1198E"/>
    <w:rsid w:val="00E146F1"/>
    <w:rsid w:val="00E152EA"/>
    <w:rsid w:val="00E157BD"/>
    <w:rsid w:val="00E15CD4"/>
    <w:rsid w:val="00E21708"/>
    <w:rsid w:val="00E264CE"/>
    <w:rsid w:val="00E30F8A"/>
    <w:rsid w:val="00E32D17"/>
    <w:rsid w:val="00E342E2"/>
    <w:rsid w:val="00E3584D"/>
    <w:rsid w:val="00E408D5"/>
    <w:rsid w:val="00E44E4F"/>
    <w:rsid w:val="00E44FD2"/>
    <w:rsid w:val="00E45AA1"/>
    <w:rsid w:val="00E46118"/>
    <w:rsid w:val="00E4627D"/>
    <w:rsid w:val="00E467F5"/>
    <w:rsid w:val="00E52A1B"/>
    <w:rsid w:val="00E534C4"/>
    <w:rsid w:val="00E60368"/>
    <w:rsid w:val="00E62095"/>
    <w:rsid w:val="00E62CDF"/>
    <w:rsid w:val="00E63986"/>
    <w:rsid w:val="00E66CCA"/>
    <w:rsid w:val="00E66F65"/>
    <w:rsid w:val="00E71597"/>
    <w:rsid w:val="00E73494"/>
    <w:rsid w:val="00E74727"/>
    <w:rsid w:val="00E806E6"/>
    <w:rsid w:val="00E828CB"/>
    <w:rsid w:val="00E83B8E"/>
    <w:rsid w:val="00E87F8A"/>
    <w:rsid w:val="00E9066F"/>
    <w:rsid w:val="00E95900"/>
    <w:rsid w:val="00E95A4E"/>
    <w:rsid w:val="00E963EB"/>
    <w:rsid w:val="00E9792E"/>
    <w:rsid w:val="00E97C1E"/>
    <w:rsid w:val="00EA296A"/>
    <w:rsid w:val="00EA6E06"/>
    <w:rsid w:val="00EB18FB"/>
    <w:rsid w:val="00EB1D80"/>
    <w:rsid w:val="00EB293C"/>
    <w:rsid w:val="00EB4C76"/>
    <w:rsid w:val="00EC034F"/>
    <w:rsid w:val="00EC781D"/>
    <w:rsid w:val="00ED4F97"/>
    <w:rsid w:val="00ED5AD2"/>
    <w:rsid w:val="00ED743D"/>
    <w:rsid w:val="00EE02DD"/>
    <w:rsid w:val="00EE22D7"/>
    <w:rsid w:val="00EE234D"/>
    <w:rsid w:val="00EE4D7E"/>
    <w:rsid w:val="00EE7F43"/>
    <w:rsid w:val="00EF2352"/>
    <w:rsid w:val="00EF52FD"/>
    <w:rsid w:val="00EF53A3"/>
    <w:rsid w:val="00F07485"/>
    <w:rsid w:val="00F11C01"/>
    <w:rsid w:val="00F135E4"/>
    <w:rsid w:val="00F2001E"/>
    <w:rsid w:val="00F213B6"/>
    <w:rsid w:val="00F23396"/>
    <w:rsid w:val="00F24EC9"/>
    <w:rsid w:val="00F25861"/>
    <w:rsid w:val="00F27608"/>
    <w:rsid w:val="00F32F90"/>
    <w:rsid w:val="00F3617C"/>
    <w:rsid w:val="00F37A05"/>
    <w:rsid w:val="00F40BE3"/>
    <w:rsid w:val="00F41319"/>
    <w:rsid w:val="00F41670"/>
    <w:rsid w:val="00F46033"/>
    <w:rsid w:val="00F53EFD"/>
    <w:rsid w:val="00F5699A"/>
    <w:rsid w:val="00F56D62"/>
    <w:rsid w:val="00F605AE"/>
    <w:rsid w:val="00F60B2E"/>
    <w:rsid w:val="00F64208"/>
    <w:rsid w:val="00F6471C"/>
    <w:rsid w:val="00F7263A"/>
    <w:rsid w:val="00F72E88"/>
    <w:rsid w:val="00F76F58"/>
    <w:rsid w:val="00F779BD"/>
    <w:rsid w:val="00F77D29"/>
    <w:rsid w:val="00F85D46"/>
    <w:rsid w:val="00F86CBE"/>
    <w:rsid w:val="00F87D31"/>
    <w:rsid w:val="00F87E05"/>
    <w:rsid w:val="00F91EFA"/>
    <w:rsid w:val="00F93879"/>
    <w:rsid w:val="00F94802"/>
    <w:rsid w:val="00F9717E"/>
    <w:rsid w:val="00FA5B54"/>
    <w:rsid w:val="00FB0849"/>
    <w:rsid w:val="00FB4395"/>
    <w:rsid w:val="00FC0634"/>
    <w:rsid w:val="00FC0E6F"/>
    <w:rsid w:val="00FC12FE"/>
    <w:rsid w:val="00FC2E8C"/>
    <w:rsid w:val="00FC3C5F"/>
    <w:rsid w:val="00FC73FE"/>
    <w:rsid w:val="00FD25BF"/>
    <w:rsid w:val="00FD5FD0"/>
    <w:rsid w:val="00FD7029"/>
    <w:rsid w:val="00FE2DFD"/>
    <w:rsid w:val="00FE33A3"/>
    <w:rsid w:val="00FE4CAE"/>
    <w:rsid w:val="00FE5AFE"/>
    <w:rsid w:val="00FF24E2"/>
    <w:rsid w:val="00FF3F47"/>
    <w:rsid w:val="00FF4E13"/>
    <w:rsid w:val="00FF6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2982F"/>
  <w15:docId w15:val="{3E836EAF-E11B-4889-B8D7-9F41DD7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67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81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6D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6DED"/>
  </w:style>
  <w:style w:type="paragraph" w:styleId="Zpat">
    <w:name w:val="footer"/>
    <w:basedOn w:val="Normln"/>
    <w:link w:val="ZpatChar"/>
    <w:uiPriority w:val="99"/>
    <w:unhideWhenUsed/>
    <w:rsid w:val="00B46DED"/>
    <w:pPr>
      <w:tabs>
        <w:tab w:val="center" w:pos="4536"/>
        <w:tab w:val="right" w:pos="9072"/>
      </w:tabs>
      <w:spacing w:after="0" w:line="240" w:lineRule="auto"/>
    </w:pPr>
  </w:style>
  <w:style w:type="character" w:customStyle="1" w:styleId="ZpatChar">
    <w:name w:val="Zápatí Char"/>
    <w:basedOn w:val="Standardnpsmoodstavce"/>
    <w:link w:val="Zpat"/>
    <w:uiPriority w:val="99"/>
    <w:rsid w:val="00B46DED"/>
  </w:style>
  <w:style w:type="character" w:styleId="Hypertextovodkaz">
    <w:name w:val="Hyperlink"/>
    <w:basedOn w:val="Standardnpsmoodstavce"/>
    <w:uiPriority w:val="99"/>
    <w:unhideWhenUsed/>
    <w:rsid w:val="00366012"/>
    <w:rPr>
      <w:color w:val="0563C1" w:themeColor="hyperlink"/>
      <w:u w:val="single"/>
    </w:rPr>
  </w:style>
  <w:style w:type="character" w:customStyle="1" w:styleId="Nadpis1Char">
    <w:name w:val="Nadpis 1 Char"/>
    <w:basedOn w:val="Standardnpsmoodstavce"/>
    <w:link w:val="Nadpis1"/>
    <w:uiPriority w:val="9"/>
    <w:rsid w:val="00967FBE"/>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967FBE"/>
    <w:pPr>
      <w:ind w:left="720"/>
      <w:contextualSpacing/>
    </w:pPr>
  </w:style>
  <w:style w:type="paragraph" w:styleId="Nadpisobsahu">
    <w:name w:val="TOC Heading"/>
    <w:basedOn w:val="Nadpis1"/>
    <w:next w:val="Normln"/>
    <w:uiPriority w:val="39"/>
    <w:unhideWhenUsed/>
    <w:qFormat/>
    <w:rsid w:val="005725F9"/>
    <w:pPr>
      <w:outlineLvl w:val="9"/>
    </w:pPr>
    <w:rPr>
      <w:lang w:eastAsia="cs-CZ"/>
    </w:rPr>
  </w:style>
  <w:style w:type="paragraph" w:styleId="Obsah1">
    <w:name w:val="toc 1"/>
    <w:basedOn w:val="Normln"/>
    <w:next w:val="Normln"/>
    <w:autoRedefine/>
    <w:uiPriority w:val="39"/>
    <w:unhideWhenUsed/>
    <w:rsid w:val="00D37464"/>
    <w:pPr>
      <w:tabs>
        <w:tab w:val="right" w:leader="dot" w:pos="9062"/>
      </w:tabs>
      <w:spacing w:before="120" w:after="0" w:line="240" w:lineRule="auto"/>
    </w:pPr>
  </w:style>
  <w:style w:type="character" w:customStyle="1" w:styleId="Nadpis2Char">
    <w:name w:val="Nadpis 2 Char"/>
    <w:basedOn w:val="Standardnpsmoodstavce"/>
    <w:link w:val="Nadpis2"/>
    <w:uiPriority w:val="9"/>
    <w:rsid w:val="002819B5"/>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5B6404"/>
    <w:pPr>
      <w:tabs>
        <w:tab w:val="right" w:leader="dot" w:pos="9062"/>
      </w:tabs>
      <w:spacing w:after="60"/>
      <w:ind w:left="221"/>
    </w:pPr>
    <w:rPr>
      <w:rFonts w:cstheme="minorHAnsi"/>
      <w:b/>
      <w:bCs/>
      <w:noProof/>
    </w:rPr>
  </w:style>
  <w:style w:type="paragraph" w:styleId="Textbubliny">
    <w:name w:val="Balloon Text"/>
    <w:basedOn w:val="Normln"/>
    <w:link w:val="TextbublinyChar"/>
    <w:uiPriority w:val="99"/>
    <w:semiHidden/>
    <w:unhideWhenUsed/>
    <w:rsid w:val="00CE02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2A5"/>
    <w:rPr>
      <w:rFonts w:ascii="Segoe UI" w:hAnsi="Segoe UI" w:cs="Segoe UI"/>
      <w:sz w:val="18"/>
      <w:szCs w:val="18"/>
    </w:rPr>
  </w:style>
  <w:style w:type="table" w:styleId="Mkatabulky">
    <w:name w:val="Table Grid"/>
    <w:basedOn w:val="Normlntabulka"/>
    <w:uiPriority w:val="39"/>
    <w:rsid w:val="0070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50951"/>
    <w:pPr>
      <w:spacing w:after="0" w:line="240" w:lineRule="auto"/>
      <w:jc w:val="both"/>
    </w:pPr>
    <w:rPr>
      <w:rFonts w:ascii="Times New Roman" w:eastAsia="Times New Roman" w:hAnsi="Times New Roman" w:cs="Times New Roman"/>
      <w:sz w:val="24"/>
      <w:szCs w:val="20"/>
      <w:lang w:val="x-none" w:eastAsia="cs-CZ"/>
    </w:rPr>
  </w:style>
  <w:style w:type="character" w:customStyle="1" w:styleId="ZkladntextChar">
    <w:name w:val="Základní text Char"/>
    <w:basedOn w:val="Standardnpsmoodstavce"/>
    <w:link w:val="Zkladntext"/>
    <w:rsid w:val="00750951"/>
    <w:rPr>
      <w:rFonts w:ascii="Times New Roman" w:eastAsia="Times New Roman" w:hAnsi="Times New Roman" w:cs="Times New Roman"/>
      <w:sz w:val="24"/>
      <w:szCs w:val="20"/>
      <w:lang w:val="x-none" w:eastAsia="cs-CZ"/>
    </w:rPr>
  </w:style>
  <w:style w:type="paragraph" w:styleId="Revize">
    <w:name w:val="Revision"/>
    <w:hidden/>
    <w:uiPriority w:val="99"/>
    <w:semiHidden/>
    <w:rsid w:val="00AF65B6"/>
    <w:pPr>
      <w:spacing w:after="0" w:line="240" w:lineRule="auto"/>
    </w:pPr>
  </w:style>
  <w:style w:type="character" w:styleId="Odkaznakoment">
    <w:name w:val="annotation reference"/>
    <w:basedOn w:val="Standardnpsmoodstavce"/>
    <w:uiPriority w:val="99"/>
    <w:semiHidden/>
    <w:unhideWhenUsed/>
    <w:rsid w:val="005432C1"/>
    <w:rPr>
      <w:sz w:val="16"/>
      <w:szCs w:val="16"/>
    </w:rPr>
  </w:style>
  <w:style w:type="paragraph" w:styleId="Textkomente">
    <w:name w:val="annotation text"/>
    <w:basedOn w:val="Normln"/>
    <w:link w:val="TextkomenteChar"/>
    <w:uiPriority w:val="99"/>
    <w:semiHidden/>
    <w:unhideWhenUsed/>
    <w:rsid w:val="005432C1"/>
    <w:pPr>
      <w:spacing w:line="240" w:lineRule="auto"/>
    </w:pPr>
    <w:rPr>
      <w:sz w:val="20"/>
      <w:szCs w:val="20"/>
    </w:rPr>
  </w:style>
  <w:style w:type="character" w:customStyle="1" w:styleId="TextkomenteChar">
    <w:name w:val="Text komentáře Char"/>
    <w:basedOn w:val="Standardnpsmoodstavce"/>
    <w:link w:val="Textkomente"/>
    <w:uiPriority w:val="99"/>
    <w:semiHidden/>
    <w:rsid w:val="005432C1"/>
    <w:rPr>
      <w:sz w:val="20"/>
      <w:szCs w:val="20"/>
    </w:rPr>
  </w:style>
  <w:style w:type="paragraph" w:styleId="Pedmtkomente">
    <w:name w:val="annotation subject"/>
    <w:basedOn w:val="Textkomente"/>
    <w:next w:val="Textkomente"/>
    <w:link w:val="PedmtkomenteChar"/>
    <w:uiPriority w:val="99"/>
    <w:semiHidden/>
    <w:unhideWhenUsed/>
    <w:rsid w:val="005432C1"/>
    <w:rPr>
      <w:b/>
      <w:bCs/>
    </w:rPr>
  </w:style>
  <w:style w:type="character" w:customStyle="1" w:styleId="PedmtkomenteChar">
    <w:name w:val="Předmět komentáře Char"/>
    <w:basedOn w:val="TextkomenteChar"/>
    <w:link w:val="Pedmtkomente"/>
    <w:uiPriority w:val="99"/>
    <w:semiHidden/>
    <w:rsid w:val="00543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684">
      <w:bodyDiv w:val="1"/>
      <w:marLeft w:val="0"/>
      <w:marRight w:val="0"/>
      <w:marTop w:val="0"/>
      <w:marBottom w:val="0"/>
      <w:divBdr>
        <w:top w:val="none" w:sz="0" w:space="0" w:color="auto"/>
        <w:left w:val="none" w:sz="0" w:space="0" w:color="auto"/>
        <w:bottom w:val="none" w:sz="0" w:space="0" w:color="auto"/>
        <w:right w:val="none" w:sz="0" w:space="0" w:color="auto"/>
      </w:divBdr>
    </w:div>
    <w:div w:id="156196274">
      <w:bodyDiv w:val="1"/>
      <w:marLeft w:val="0"/>
      <w:marRight w:val="0"/>
      <w:marTop w:val="0"/>
      <w:marBottom w:val="0"/>
      <w:divBdr>
        <w:top w:val="none" w:sz="0" w:space="0" w:color="auto"/>
        <w:left w:val="none" w:sz="0" w:space="0" w:color="auto"/>
        <w:bottom w:val="none" w:sz="0" w:space="0" w:color="auto"/>
        <w:right w:val="none" w:sz="0" w:space="0" w:color="auto"/>
      </w:divBdr>
    </w:div>
    <w:div w:id="167137506">
      <w:bodyDiv w:val="1"/>
      <w:marLeft w:val="0"/>
      <w:marRight w:val="0"/>
      <w:marTop w:val="0"/>
      <w:marBottom w:val="0"/>
      <w:divBdr>
        <w:top w:val="none" w:sz="0" w:space="0" w:color="auto"/>
        <w:left w:val="none" w:sz="0" w:space="0" w:color="auto"/>
        <w:bottom w:val="none" w:sz="0" w:space="0" w:color="auto"/>
        <w:right w:val="none" w:sz="0" w:space="0" w:color="auto"/>
      </w:divBdr>
    </w:div>
    <w:div w:id="167644372">
      <w:bodyDiv w:val="1"/>
      <w:marLeft w:val="0"/>
      <w:marRight w:val="0"/>
      <w:marTop w:val="0"/>
      <w:marBottom w:val="0"/>
      <w:divBdr>
        <w:top w:val="none" w:sz="0" w:space="0" w:color="auto"/>
        <w:left w:val="none" w:sz="0" w:space="0" w:color="auto"/>
        <w:bottom w:val="none" w:sz="0" w:space="0" w:color="auto"/>
        <w:right w:val="none" w:sz="0" w:space="0" w:color="auto"/>
      </w:divBdr>
    </w:div>
    <w:div w:id="196937352">
      <w:bodyDiv w:val="1"/>
      <w:marLeft w:val="0"/>
      <w:marRight w:val="0"/>
      <w:marTop w:val="0"/>
      <w:marBottom w:val="0"/>
      <w:divBdr>
        <w:top w:val="none" w:sz="0" w:space="0" w:color="auto"/>
        <w:left w:val="none" w:sz="0" w:space="0" w:color="auto"/>
        <w:bottom w:val="none" w:sz="0" w:space="0" w:color="auto"/>
        <w:right w:val="none" w:sz="0" w:space="0" w:color="auto"/>
      </w:divBdr>
    </w:div>
    <w:div w:id="243686107">
      <w:bodyDiv w:val="1"/>
      <w:marLeft w:val="0"/>
      <w:marRight w:val="0"/>
      <w:marTop w:val="0"/>
      <w:marBottom w:val="0"/>
      <w:divBdr>
        <w:top w:val="none" w:sz="0" w:space="0" w:color="auto"/>
        <w:left w:val="none" w:sz="0" w:space="0" w:color="auto"/>
        <w:bottom w:val="none" w:sz="0" w:space="0" w:color="auto"/>
        <w:right w:val="none" w:sz="0" w:space="0" w:color="auto"/>
      </w:divBdr>
    </w:div>
    <w:div w:id="254436866">
      <w:bodyDiv w:val="1"/>
      <w:marLeft w:val="0"/>
      <w:marRight w:val="0"/>
      <w:marTop w:val="0"/>
      <w:marBottom w:val="0"/>
      <w:divBdr>
        <w:top w:val="none" w:sz="0" w:space="0" w:color="auto"/>
        <w:left w:val="none" w:sz="0" w:space="0" w:color="auto"/>
        <w:bottom w:val="none" w:sz="0" w:space="0" w:color="auto"/>
        <w:right w:val="none" w:sz="0" w:space="0" w:color="auto"/>
      </w:divBdr>
    </w:div>
    <w:div w:id="276180079">
      <w:bodyDiv w:val="1"/>
      <w:marLeft w:val="0"/>
      <w:marRight w:val="0"/>
      <w:marTop w:val="0"/>
      <w:marBottom w:val="0"/>
      <w:divBdr>
        <w:top w:val="none" w:sz="0" w:space="0" w:color="auto"/>
        <w:left w:val="none" w:sz="0" w:space="0" w:color="auto"/>
        <w:bottom w:val="none" w:sz="0" w:space="0" w:color="auto"/>
        <w:right w:val="none" w:sz="0" w:space="0" w:color="auto"/>
      </w:divBdr>
    </w:div>
    <w:div w:id="346450716">
      <w:bodyDiv w:val="1"/>
      <w:marLeft w:val="0"/>
      <w:marRight w:val="0"/>
      <w:marTop w:val="0"/>
      <w:marBottom w:val="0"/>
      <w:divBdr>
        <w:top w:val="none" w:sz="0" w:space="0" w:color="auto"/>
        <w:left w:val="none" w:sz="0" w:space="0" w:color="auto"/>
        <w:bottom w:val="none" w:sz="0" w:space="0" w:color="auto"/>
        <w:right w:val="none" w:sz="0" w:space="0" w:color="auto"/>
      </w:divBdr>
    </w:div>
    <w:div w:id="435948096">
      <w:bodyDiv w:val="1"/>
      <w:marLeft w:val="0"/>
      <w:marRight w:val="0"/>
      <w:marTop w:val="0"/>
      <w:marBottom w:val="0"/>
      <w:divBdr>
        <w:top w:val="none" w:sz="0" w:space="0" w:color="auto"/>
        <w:left w:val="none" w:sz="0" w:space="0" w:color="auto"/>
        <w:bottom w:val="none" w:sz="0" w:space="0" w:color="auto"/>
        <w:right w:val="none" w:sz="0" w:space="0" w:color="auto"/>
      </w:divBdr>
    </w:div>
    <w:div w:id="519204724">
      <w:bodyDiv w:val="1"/>
      <w:marLeft w:val="0"/>
      <w:marRight w:val="0"/>
      <w:marTop w:val="0"/>
      <w:marBottom w:val="0"/>
      <w:divBdr>
        <w:top w:val="none" w:sz="0" w:space="0" w:color="auto"/>
        <w:left w:val="none" w:sz="0" w:space="0" w:color="auto"/>
        <w:bottom w:val="none" w:sz="0" w:space="0" w:color="auto"/>
        <w:right w:val="none" w:sz="0" w:space="0" w:color="auto"/>
      </w:divBdr>
    </w:div>
    <w:div w:id="560988427">
      <w:bodyDiv w:val="1"/>
      <w:marLeft w:val="0"/>
      <w:marRight w:val="0"/>
      <w:marTop w:val="0"/>
      <w:marBottom w:val="0"/>
      <w:divBdr>
        <w:top w:val="none" w:sz="0" w:space="0" w:color="auto"/>
        <w:left w:val="none" w:sz="0" w:space="0" w:color="auto"/>
        <w:bottom w:val="none" w:sz="0" w:space="0" w:color="auto"/>
        <w:right w:val="none" w:sz="0" w:space="0" w:color="auto"/>
      </w:divBdr>
    </w:div>
    <w:div w:id="589587773">
      <w:bodyDiv w:val="1"/>
      <w:marLeft w:val="0"/>
      <w:marRight w:val="0"/>
      <w:marTop w:val="0"/>
      <w:marBottom w:val="0"/>
      <w:divBdr>
        <w:top w:val="none" w:sz="0" w:space="0" w:color="auto"/>
        <w:left w:val="none" w:sz="0" w:space="0" w:color="auto"/>
        <w:bottom w:val="none" w:sz="0" w:space="0" w:color="auto"/>
        <w:right w:val="none" w:sz="0" w:space="0" w:color="auto"/>
      </w:divBdr>
    </w:div>
    <w:div w:id="819006637">
      <w:bodyDiv w:val="1"/>
      <w:marLeft w:val="0"/>
      <w:marRight w:val="0"/>
      <w:marTop w:val="0"/>
      <w:marBottom w:val="0"/>
      <w:divBdr>
        <w:top w:val="none" w:sz="0" w:space="0" w:color="auto"/>
        <w:left w:val="none" w:sz="0" w:space="0" w:color="auto"/>
        <w:bottom w:val="none" w:sz="0" w:space="0" w:color="auto"/>
        <w:right w:val="none" w:sz="0" w:space="0" w:color="auto"/>
      </w:divBdr>
    </w:div>
    <w:div w:id="850610813">
      <w:bodyDiv w:val="1"/>
      <w:marLeft w:val="0"/>
      <w:marRight w:val="0"/>
      <w:marTop w:val="0"/>
      <w:marBottom w:val="0"/>
      <w:divBdr>
        <w:top w:val="none" w:sz="0" w:space="0" w:color="auto"/>
        <w:left w:val="none" w:sz="0" w:space="0" w:color="auto"/>
        <w:bottom w:val="none" w:sz="0" w:space="0" w:color="auto"/>
        <w:right w:val="none" w:sz="0" w:space="0" w:color="auto"/>
      </w:divBdr>
    </w:div>
    <w:div w:id="973367020">
      <w:bodyDiv w:val="1"/>
      <w:marLeft w:val="0"/>
      <w:marRight w:val="0"/>
      <w:marTop w:val="0"/>
      <w:marBottom w:val="0"/>
      <w:divBdr>
        <w:top w:val="none" w:sz="0" w:space="0" w:color="auto"/>
        <w:left w:val="none" w:sz="0" w:space="0" w:color="auto"/>
        <w:bottom w:val="none" w:sz="0" w:space="0" w:color="auto"/>
        <w:right w:val="none" w:sz="0" w:space="0" w:color="auto"/>
      </w:divBdr>
    </w:div>
    <w:div w:id="983005938">
      <w:bodyDiv w:val="1"/>
      <w:marLeft w:val="0"/>
      <w:marRight w:val="0"/>
      <w:marTop w:val="0"/>
      <w:marBottom w:val="0"/>
      <w:divBdr>
        <w:top w:val="none" w:sz="0" w:space="0" w:color="auto"/>
        <w:left w:val="none" w:sz="0" w:space="0" w:color="auto"/>
        <w:bottom w:val="none" w:sz="0" w:space="0" w:color="auto"/>
        <w:right w:val="none" w:sz="0" w:space="0" w:color="auto"/>
      </w:divBdr>
    </w:div>
    <w:div w:id="1013726168">
      <w:bodyDiv w:val="1"/>
      <w:marLeft w:val="0"/>
      <w:marRight w:val="0"/>
      <w:marTop w:val="0"/>
      <w:marBottom w:val="0"/>
      <w:divBdr>
        <w:top w:val="none" w:sz="0" w:space="0" w:color="auto"/>
        <w:left w:val="none" w:sz="0" w:space="0" w:color="auto"/>
        <w:bottom w:val="none" w:sz="0" w:space="0" w:color="auto"/>
        <w:right w:val="none" w:sz="0" w:space="0" w:color="auto"/>
      </w:divBdr>
    </w:div>
    <w:div w:id="1121995833">
      <w:bodyDiv w:val="1"/>
      <w:marLeft w:val="0"/>
      <w:marRight w:val="0"/>
      <w:marTop w:val="0"/>
      <w:marBottom w:val="0"/>
      <w:divBdr>
        <w:top w:val="none" w:sz="0" w:space="0" w:color="auto"/>
        <w:left w:val="none" w:sz="0" w:space="0" w:color="auto"/>
        <w:bottom w:val="none" w:sz="0" w:space="0" w:color="auto"/>
        <w:right w:val="none" w:sz="0" w:space="0" w:color="auto"/>
      </w:divBdr>
    </w:div>
    <w:div w:id="1125540966">
      <w:bodyDiv w:val="1"/>
      <w:marLeft w:val="0"/>
      <w:marRight w:val="0"/>
      <w:marTop w:val="0"/>
      <w:marBottom w:val="0"/>
      <w:divBdr>
        <w:top w:val="none" w:sz="0" w:space="0" w:color="auto"/>
        <w:left w:val="none" w:sz="0" w:space="0" w:color="auto"/>
        <w:bottom w:val="none" w:sz="0" w:space="0" w:color="auto"/>
        <w:right w:val="none" w:sz="0" w:space="0" w:color="auto"/>
      </w:divBdr>
    </w:div>
    <w:div w:id="1147282629">
      <w:bodyDiv w:val="1"/>
      <w:marLeft w:val="0"/>
      <w:marRight w:val="0"/>
      <w:marTop w:val="0"/>
      <w:marBottom w:val="0"/>
      <w:divBdr>
        <w:top w:val="none" w:sz="0" w:space="0" w:color="auto"/>
        <w:left w:val="none" w:sz="0" w:space="0" w:color="auto"/>
        <w:bottom w:val="none" w:sz="0" w:space="0" w:color="auto"/>
        <w:right w:val="none" w:sz="0" w:space="0" w:color="auto"/>
      </w:divBdr>
    </w:div>
    <w:div w:id="1358852526">
      <w:bodyDiv w:val="1"/>
      <w:marLeft w:val="0"/>
      <w:marRight w:val="0"/>
      <w:marTop w:val="0"/>
      <w:marBottom w:val="0"/>
      <w:divBdr>
        <w:top w:val="none" w:sz="0" w:space="0" w:color="auto"/>
        <w:left w:val="none" w:sz="0" w:space="0" w:color="auto"/>
        <w:bottom w:val="none" w:sz="0" w:space="0" w:color="auto"/>
        <w:right w:val="none" w:sz="0" w:space="0" w:color="auto"/>
      </w:divBdr>
    </w:div>
    <w:div w:id="1375034943">
      <w:bodyDiv w:val="1"/>
      <w:marLeft w:val="0"/>
      <w:marRight w:val="0"/>
      <w:marTop w:val="0"/>
      <w:marBottom w:val="0"/>
      <w:divBdr>
        <w:top w:val="none" w:sz="0" w:space="0" w:color="auto"/>
        <w:left w:val="none" w:sz="0" w:space="0" w:color="auto"/>
        <w:bottom w:val="none" w:sz="0" w:space="0" w:color="auto"/>
        <w:right w:val="none" w:sz="0" w:space="0" w:color="auto"/>
      </w:divBdr>
    </w:div>
    <w:div w:id="1432118160">
      <w:bodyDiv w:val="1"/>
      <w:marLeft w:val="0"/>
      <w:marRight w:val="0"/>
      <w:marTop w:val="0"/>
      <w:marBottom w:val="0"/>
      <w:divBdr>
        <w:top w:val="none" w:sz="0" w:space="0" w:color="auto"/>
        <w:left w:val="none" w:sz="0" w:space="0" w:color="auto"/>
        <w:bottom w:val="none" w:sz="0" w:space="0" w:color="auto"/>
        <w:right w:val="none" w:sz="0" w:space="0" w:color="auto"/>
      </w:divBdr>
    </w:div>
    <w:div w:id="1445883298">
      <w:bodyDiv w:val="1"/>
      <w:marLeft w:val="0"/>
      <w:marRight w:val="0"/>
      <w:marTop w:val="0"/>
      <w:marBottom w:val="0"/>
      <w:divBdr>
        <w:top w:val="none" w:sz="0" w:space="0" w:color="auto"/>
        <w:left w:val="none" w:sz="0" w:space="0" w:color="auto"/>
        <w:bottom w:val="none" w:sz="0" w:space="0" w:color="auto"/>
        <w:right w:val="none" w:sz="0" w:space="0" w:color="auto"/>
      </w:divBdr>
    </w:div>
    <w:div w:id="1495800217">
      <w:bodyDiv w:val="1"/>
      <w:marLeft w:val="0"/>
      <w:marRight w:val="0"/>
      <w:marTop w:val="0"/>
      <w:marBottom w:val="0"/>
      <w:divBdr>
        <w:top w:val="none" w:sz="0" w:space="0" w:color="auto"/>
        <w:left w:val="none" w:sz="0" w:space="0" w:color="auto"/>
        <w:bottom w:val="none" w:sz="0" w:space="0" w:color="auto"/>
        <w:right w:val="none" w:sz="0" w:space="0" w:color="auto"/>
      </w:divBdr>
    </w:div>
    <w:div w:id="1533417239">
      <w:bodyDiv w:val="1"/>
      <w:marLeft w:val="0"/>
      <w:marRight w:val="0"/>
      <w:marTop w:val="0"/>
      <w:marBottom w:val="0"/>
      <w:divBdr>
        <w:top w:val="none" w:sz="0" w:space="0" w:color="auto"/>
        <w:left w:val="none" w:sz="0" w:space="0" w:color="auto"/>
        <w:bottom w:val="none" w:sz="0" w:space="0" w:color="auto"/>
        <w:right w:val="none" w:sz="0" w:space="0" w:color="auto"/>
      </w:divBdr>
    </w:div>
    <w:div w:id="1573659082">
      <w:bodyDiv w:val="1"/>
      <w:marLeft w:val="0"/>
      <w:marRight w:val="0"/>
      <w:marTop w:val="0"/>
      <w:marBottom w:val="0"/>
      <w:divBdr>
        <w:top w:val="none" w:sz="0" w:space="0" w:color="auto"/>
        <w:left w:val="none" w:sz="0" w:space="0" w:color="auto"/>
        <w:bottom w:val="none" w:sz="0" w:space="0" w:color="auto"/>
        <w:right w:val="none" w:sz="0" w:space="0" w:color="auto"/>
      </w:divBdr>
    </w:div>
    <w:div w:id="1756779506">
      <w:bodyDiv w:val="1"/>
      <w:marLeft w:val="0"/>
      <w:marRight w:val="0"/>
      <w:marTop w:val="0"/>
      <w:marBottom w:val="0"/>
      <w:divBdr>
        <w:top w:val="none" w:sz="0" w:space="0" w:color="auto"/>
        <w:left w:val="none" w:sz="0" w:space="0" w:color="auto"/>
        <w:bottom w:val="none" w:sz="0" w:space="0" w:color="auto"/>
        <w:right w:val="none" w:sz="0" w:space="0" w:color="auto"/>
      </w:divBdr>
    </w:div>
    <w:div w:id="1780679693">
      <w:bodyDiv w:val="1"/>
      <w:marLeft w:val="0"/>
      <w:marRight w:val="0"/>
      <w:marTop w:val="0"/>
      <w:marBottom w:val="0"/>
      <w:divBdr>
        <w:top w:val="none" w:sz="0" w:space="0" w:color="auto"/>
        <w:left w:val="none" w:sz="0" w:space="0" w:color="auto"/>
        <w:bottom w:val="none" w:sz="0" w:space="0" w:color="auto"/>
        <w:right w:val="none" w:sz="0" w:space="0" w:color="auto"/>
      </w:divBdr>
    </w:div>
    <w:div w:id="2002728956">
      <w:bodyDiv w:val="1"/>
      <w:marLeft w:val="0"/>
      <w:marRight w:val="0"/>
      <w:marTop w:val="0"/>
      <w:marBottom w:val="0"/>
      <w:divBdr>
        <w:top w:val="none" w:sz="0" w:space="0" w:color="auto"/>
        <w:left w:val="none" w:sz="0" w:space="0" w:color="auto"/>
        <w:bottom w:val="none" w:sz="0" w:space="0" w:color="auto"/>
        <w:right w:val="none" w:sz="0" w:space="0" w:color="auto"/>
      </w:divBdr>
    </w:div>
    <w:div w:id="21030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talitas.cz/soubory-ke-staze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FB9F-D064-404B-A277-F41BBFDB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9672</Words>
  <Characters>57068</Characters>
  <Application>Microsoft Office Word</Application>
  <DocSecurity>0</DocSecurity>
  <Lines>475</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Vacovsky</dc:creator>
  <cp:lastModifiedBy>Irena Plankova</cp:lastModifiedBy>
  <cp:revision>45</cp:revision>
  <cp:lastPrinted>2021-06-17T15:16:00Z</cp:lastPrinted>
  <dcterms:created xsi:type="dcterms:W3CDTF">2021-06-29T09:14:00Z</dcterms:created>
  <dcterms:modified xsi:type="dcterms:W3CDTF">2021-06-29T10:25:00Z</dcterms:modified>
</cp:coreProperties>
</file>